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t>II Edycja</w:t>
      </w:r>
    </w:p>
    <w:p>
      <w:pPr>
        <w:pStyle w:val="Normal"/>
        <w:spacing w:lineRule="auto" w:line="360" w:before="0" w:after="0"/>
        <w:jc w:val="center"/>
        <w:rPr>
          <w:rFonts w:ascii="Times New Roman" w:hAnsi="Times New Roman" w:cs="Times New Roman"/>
          <w:b/>
          <w:bCs/>
          <w:sz w:val="24"/>
          <w:szCs w:val="24"/>
        </w:rPr>
      </w:pPr>
      <w:r>
        <w:rPr>
          <w:rFonts w:cs="Times New Roman" w:ascii="Times New Roman" w:hAnsi="Times New Roman"/>
          <w:b/>
          <w:bCs/>
          <w:sz w:val="24"/>
          <w:szCs w:val="24"/>
        </w:rPr>
        <w:t>REGULAMIN KONKURSU Małe Granty „AkTYwny Wolontariat”</w:t>
      </w:r>
    </w:p>
    <w:p>
      <w:pPr>
        <w:pStyle w:val="Normal"/>
        <w:spacing w:lineRule="auto" w:line="360" w:before="0" w:after="0"/>
        <w:jc w:val="center"/>
        <w:rPr>
          <w:rFonts w:ascii="Times New Roman" w:hAnsi="Times New Roman" w:cs="Times New Roman"/>
          <w:b/>
          <w:bCs/>
          <w:sz w:val="24"/>
          <w:szCs w:val="24"/>
        </w:rPr>
      </w:pPr>
      <w:r>
        <w:rPr>
          <w:rFonts w:cs="Times New Roman" w:ascii="Times New Roman" w:hAnsi="Times New Roman"/>
          <w:b/>
          <w:bCs/>
          <w:sz w:val="24"/>
          <w:szCs w:val="24"/>
        </w:rPr>
        <w:t>Ścieżka 2. Aktywizacja Samorządów Uczniowskich i Studenckich.</w:t>
      </w:r>
    </w:p>
    <w:p>
      <w:pPr>
        <w:pStyle w:val="Normal"/>
        <w:spacing w:lineRule="auto" w:line="36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1"/>
        </w:numPr>
        <w:spacing w:lineRule="auto" w:line="360" w:before="0" w:after="0"/>
        <w:ind w:hanging="0" w:left="0"/>
        <w:contextualSpacing/>
        <w:jc w:val="both"/>
        <w:rPr>
          <w:rFonts w:ascii="Times New Roman" w:hAnsi="Times New Roman" w:cs="Times New Roman"/>
          <w:b/>
          <w:bCs/>
          <w:sz w:val="24"/>
          <w:szCs w:val="24"/>
        </w:rPr>
      </w:pPr>
      <w:r>
        <w:rPr>
          <w:rFonts w:cs="Times New Roman" w:ascii="Times New Roman" w:hAnsi="Times New Roman"/>
          <w:b/>
          <w:bCs/>
          <w:sz w:val="24"/>
          <w:szCs w:val="24"/>
        </w:rPr>
        <w:t>Informacje ogólne</w:t>
      </w:r>
    </w:p>
    <w:p>
      <w:pPr>
        <w:pStyle w:val="ListParagraph"/>
        <w:spacing w:lineRule="auto" w:line="360" w:before="0" w:after="0"/>
        <w:ind w:left="1080"/>
        <w:contextualSpacing/>
        <w:jc w:val="both"/>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Fundusz Młodzieżowy to program realizowany przez Caritas Diecezji Sosnowieckiej  finansowany  ze środków Narodowego Instytutu Wolności – Centrum Rozwoju Społeczeństwa Obywatelskiego w ramach Rządowego Programu Fundusz Młodzieżowy na lata 2022-2033.</w:t>
      </w:r>
    </w:p>
    <w:p>
      <w:pPr>
        <w:pStyle w:val="ListParagraph"/>
        <w:numPr>
          <w:ilvl w:val="0"/>
          <w:numId w:val="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Niniejszy Regulamin określa szczegółowe zasady powierzania Małych Grantów </w:t>
        <w:br/>
        <w:t>w ramach Konkursu Grantowego  „AkTYwny Wolontariat” Ścieżka 2. Aktywizacja Samorządów Uczniowskich i Studenckich - obejmującej działalność samorządów uczniowskich szkół, samorządów studenckich i doktoranckich uczelni wyższych oraz uczelnianych organizacji studenckich i doktoranckich, w tym przyznawania i rozliczania małego Grantu w ramach naboru wniosków o realizację projektów w konkursie Małe Granty, zwanym dalej “Konkursem”.</w:t>
      </w:r>
    </w:p>
    <w:p>
      <w:pPr>
        <w:pStyle w:val="ListParagraph"/>
        <w:numPr>
          <w:ilvl w:val="0"/>
          <w:numId w:val="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Instytucją zarządzającą w ramach niniejszego projektu jest Narodowy Instytut Wolności – Centrum Rozwoju Społeczeństwa Obywatelskiego.</w:t>
      </w:r>
    </w:p>
    <w:p>
      <w:pPr>
        <w:pStyle w:val="ListParagraph"/>
        <w:numPr>
          <w:ilvl w:val="0"/>
          <w:numId w:val="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Niniejszy Regulamin jest zgodny z polityką ochrony danych osobowych oraz procedurami w zakresie ochrony dzieci przed krzywdzeniem obowiązującymi </w:t>
        <w:br/>
        <w:t>u Operatora.</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360" w:before="0" w:after="0"/>
        <w:ind w:hanging="0" w:left="0"/>
        <w:contextualSpacing/>
        <w:jc w:val="both"/>
        <w:rPr>
          <w:rFonts w:ascii="Times New Roman" w:hAnsi="Times New Roman" w:cs="Times New Roman"/>
          <w:b/>
          <w:bCs/>
          <w:sz w:val="24"/>
          <w:szCs w:val="24"/>
        </w:rPr>
      </w:pPr>
      <w:r>
        <w:rPr>
          <w:rFonts w:cs="Times New Roman" w:ascii="Times New Roman" w:hAnsi="Times New Roman"/>
          <w:b/>
          <w:bCs/>
          <w:sz w:val="24"/>
          <w:szCs w:val="24"/>
        </w:rPr>
        <w:t xml:space="preserve">Cel </w:t>
      </w:r>
    </w:p>
    <w:p>
      <w:pPr>
        <w:pStyle w:val="ListParagraph"/>
        <w:spacing w:lineRule="auto" w:line="360" w:before="0" w:after="0"/>
        <w:ind w:left="0"/>
        <w:contextualSpacing/>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Głównym celem  realizacji projektu “AkTYwny wolontariat na start” na lata 2024 -2026 jest zwiększenie zaangażowania młodzieży i młodzieżowych organizacji pozarządowych w życie publiczne poprzez wsparcie inicjatyw młodzieżowych, wzrost ich znaczenia w życiu publicznym oraz ich wzmocnienie instytucjonalne.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360" w:before="0" w:after="0"/>
        <w:ind w:hanging="0" w:left="0"/>
        <w:contextualSpacing/>
        <w:jc w:val="both"/>
        <w:rPr>
          <w:rFonts w:ascii="Times New Roman" w:hAnsi="Times New Roman" w:cs="Times New Roman"/>
          <w:b/>
          <w:bCs/>
          <w:sz w:val="24"/>
          <w:szCs w:val="24"/>
        </w:rPr>
      </w:pPr>
      <w:r>
        <w:rPr>
          <w:rFonts w:cs="Times New Roman" w:ascii="Times New Roman" w:hAnsi="Times New Roman"/>
          <w:b/>
          <w:bCs/>
          <w:sz w:val="24"/>
          <w:szCs w:val="24"/>
        </w:rPr>
        <w:t>Miejsce realizacji</w:t>
      </w:r>
    </w:p>
    <w:p>
      <w:pPr>
        <w:pStyle w:val="ListParagraph"/>
        <w:spacing w:lineRule="auto" w:line="360" w:before="0" w:after="0"/>
        <w:ind w:left="0"/>
        <w:contextualSpacing/>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Projekt musi być zrealizowany na obszarze województwa śląskiego i małopolskiego.</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360" w:before="0" w:after="0"/>
        <w:ind w:hanging="720" w:left="709"/>
        <w:contextualSpacing/>
        <w:jc w:val="both"/>
        <w:rPr>
          <w:rFonts w:ascii="Times New Roman" w:hAnsi="Times New Roman" w:cs="Times New Roman"/>
          <w:b/>
          <w:bCs/>
          <w:sz w:val="24"/>
          <w:szCs w:val="24"/>
        </w:rPr>
      </w:pPr>
      <w:r>
        <w:rPr>
          <w:rFonts w:cs="Times New Roman" w:ascii="Times New Roman" w:hAnsi="Times New Roman"/>
          <w:b/>
          <w:bCs/>
          <w:sz w:val="24"/>
          <w:szCs w:val="24"/>
        </w:rPr>
        <w:t>Podmioty uprawnione</w:t>
      </w:r>
    </w:p>
    <w:p>
      <w:pPr>
        <w:pStyle w:val="ListParagraph"/>
        <w:spacing w:lineRule="auto" w:line="360" w:before="0" w:after="0"/>
        <w:ind w:left="1080"/>
        <w:contextualSpacing/>
        <w:jc w:val="both"/>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3"/>
        </w:numPr>
        <w:spacing w:lineRule="auto" w:line="360" w:before="0" w:after="0"/>
        <w:contextualSpacing/>
        <w:jc w:val="both"/>
        <w:rPr>
          <w:rFonts w:ascii="Times New Roman" w:hAnsi="Times New Roman" w:cs="Times New Roman"/>
          <w:b/>
          <w:bCs/>
          <w:sz w:val="24"/>
          <w:szCs w:val="24"/>
        </w:rPr>
      </w:pPr>
      <w:r>
        <w:rPr>
          <w:rFonts w:cs="Times New Roman" w:ascii="Times New Roman" w:hAnsi="Times New Roman"/>
          <w:sz w:val="24"/>
          <w:szCs w:val="24"/>
        </w:rPr>
        <w:t>Podmioty, które mogą wziąć udział w Konkursie to:</w:t>
      </w:r>
    </w:p>
    <w:p>
      <w:pPr>
        <w:pStyle w:val="ListParagraph"/>
        <w:spacing w:lineRule="auto" w:line="360" w:before="0" w:after="0"/>
        <w:contextualSpacing/>
        <w:jc w:val="both"/>
        <w:rPr>
          <w:rFonts w:ascii="Times New Roman" w:hAnsi="Times New Roman" w:cs="Times New Roman"/>
          <w:b/>
          <w:bCs/>
          <w:sz w:val="24"/>
          <w:szCs w:val="24"/>
          <w:u w:val="single"/>
        </w:rPr>
      </w:pPr>
      <w:r>
        <w:rPr>
          <w:rFonts w:cs="Times New Roman" w:ascii="Times New Roman" w:hAnsi="Times New Roman"/>
          <w:b/>
          <w:bCs/>
          <w:sz w:val="24"/>
          <w:szCs w:val="24"/>
          <w:u w:val="single"/>
        </w:rPr>
      </w:r>
    </w:p>
    <w:p>
      <w:pPr>
        <w:pStyle w:val="ListParagraph"/>
        <w:numPr>
          <w:ilvl w:val="1"/>
          <w:numId w:val="3"/>
        </w:numPr>
        <w:spacing w:lineRule="auto" w:line="360" w:before="0" w:after="0"/>
        <w:contextualSpacing/>
        <w:jc w:val="both"/>
        <w:rPr>
          <w:rFonts w:ascii="Times New Roman" w:hAnsi="Times New Roman" w:cs="Times New Roman"/>
          <w:b/>
          <w:bCs/>
          <w:sz w:val="24"/>
          <w:szCs w:val="24"/>
        </w:rPr>
      </w:pPr>
      <w:r>
        <w:rPr>
          <w:rFonts w:cs="Times New Roman" w:ascii="Times New Roman" w:hAnsi="Times New Roman"/>
          <w:b/>
          <w:bCs/>
          <w:sz w:val="24"/>
          <w:szCs w:val="24"/>
        </w:rPr>
        <w:t>Młodzież w wieku 1</w:t>
      </w:r>
      <w:r>
        <w:rPr>
          <w:rFonts w:cs="Times New Roman" w:ascii="Times New Roman" w:hAnsi="Times New Roman"/>
          <w:b/>
          <w:bCs/>
          <w:sz w:val="24"/>
          <w:szCs w:val="24"/>
        </w:rPr>
        <w:t>5</w:t>
      </w:r>
      <w:r>
        <w:rPr>
          <w:rFonts w:cs="Times New Roman" w:ascii="Times New Roman" w:hAnsi="Times New Roman"/>
          <w:b/>
          <w:bCs/>
          <w:sz w:val="24"/>
          <w:szCs w:val="24"/>
        </w:rPr>
        <w:t>-30 lat:</w:t>
      </w:r>
    </w:p>
    <w:p>
      <w:pPr>
        <w:pStyle w:val="ListParagraph"/>
        <w:spacing w:lineRule="auto" w:line="360" w:before="0" w:after="0"/>
        <w:contextualSpacing/>
        <w:jc w:val="both"/>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6"/>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Odbiorcami Konkursu są osoby w wieku 1</w:t>
      </w:r>
      <w:r>
        <w:rPr>
          <w:rFonts w:cs="Times New Roman" w:ascii="Times New Roman" w:hAnsi="Times New Roman"/>
          <w:sz w:val="24"/>
          <w:szCs w:val="24"/>
        </w:rPr>
        <w:t>5</w:t>
      </w:r>
      <w:r>
        <w:rPr>
          <w:rFonts w:cs="Times New Roman" w:ascii="Times New Roman" w:hAnsi="Times New Roman"/>
          <w:sz w:val="24"/>
          <w:szCs w:val="24"/>
        </w:rPr>
        <w:t xml:space="preserve">-30, które stworzą młodzieżową grupę samorządową (samorządy uczniowskie/ studenckie/ doktorancką) składająca się co najmniej z 3 osób, które będą wspólnie realizować działania w sferze pożytku publicznego, a nie posiadają osobowości prawnej. Przez młodzieżową grupę samorządową należy rozumieć trzy osoby reprezentujące tą samą szkołę/uczelnie. </w:t>
        <w:br/>
        <w:t>Osoby biorące udział w projekcie zarówno pełnoletnie jak i niepełnoletnie są zobowiązane wypełnić i podpisać Deklarację Udziału w Projekcie stanowiące załącznik nr 4 i 5 do Regulaminu.</w:t>
      </w:r>
    </w:p>
    <w:p>
      <w:pPr>
        <w:pStyle w:val="ListParagraph"/>
        <w:numPr>
          <w:ilvl w:val="0"/>
          <w:numId w:val="6"/>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Osoby w młodzieżowej grupie samorządowej muszą być członkami tego samego samorządu uczniowskiego/ studenckiego/doktoranckiego lub chcą taki organ utworzyć.</w:t>
      </w:r>
    </w:p>
    <w:p>
      <w:pPr>
        <w:pStyle w:val="ListParagraph"/>
        <w:numPr>
          <w:ilvl w:val="0"/>
          <w:numId w:val="6"/>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Jedna osoba może być członkiem tylko jednej samorządowej grupy młodzieżowej.</w:t>
      </w:r>
    </w:p>
    <w:p>
      <w:pPr>
        <w:pStyle w:val="ListParagraph"/>
        <w:numPr>
          <w:ilvl w:val="0"/>
          <w:numId w:val="6"/>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Każda grupa młodzieżowa musi posiadać swojego patrona, który w jej imieniu</w:t>
      </w:r>
      <w:r>
        <w:rPr>
          <w:rFonts w:cs="Times New Roman" w:ascii="Times New Roman" w:hAnsi="Times New Roman"/>
          <w:b/>
          <w:bCs/>
          <w:sz w:val="24"/>
          <w:szCs w:val="24"/>
        </w:rPr>
        <w:t xml:space="preserve"> </w:t>
      </w:r>
      <w:r>
        <w:rPr>
          <w:rFonts w:cs="Times New Roman" w:ascii="Times New Roman" w:hAnsi="Times New Roman"/>
          <w:sz w:val="24"/>
          <w:szCs w:val="24"/>
        </w:rPr>
        <w:t>będzie ubiegał się o dotację.</w:t>
      </w:r>
    </w:p>
    <w:p>
      <w:pPr>
        <w:pStyle w:val="Normal"/>
        <w:spacing w:lineRule="auto" w:line="360" w:before="0" w:after="0"/>
        <w:ind w:left="360"/>
        <w:jc w:val="both"/>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1"/>
          <w:numId w:val="3"/>
        </w:numPr>
        <w:spacing w:lineRule="auto" w:line="360" w:before="0" w:after="0"/>
        <w:contextualSpacing/>
        <w:jc w:val="both"/>
        <w:rPr>
          <w:rFonts w:ascii="Times New Roman" w:hAnsi="Times New Roman" w:cs="Times New Roman"/>
          <w:b/>
          <w:bCs/>
          <w:sz w:val="24"/>
          <w:szCs w:val="24"/>
        </w:rPr>
      </w:pPr>
      <w:r>
        <w:rPr>
          <w:rFonts w:cs="Times New Roman" w:ascii="Times New Roman" w:hAnsi="Times New Roman"/>
          <w:b/>
          <w:bCs/>
          <w:sz w:val="24"/>
          <w:szCs w:val="24"/>
        </w:rPr>
        <w:t xml:space="preserve">Patroni: </w:t>
      </w:r>
    </w:p>
    <w:p>
      <w:pPr>
        <w:pStyle w:val="ListParagraph"/>
        <w:spacing w:lineRule="auto" w:line="360" w:before="0" w:after="0"/>
        <w:contextualSpacing/>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360" w:before="0" w:after="0"/>
        <w:ind w:left="360"/>
        <w:jc w:val="both"/>
        <w:rPr>
          <w:rFonts w:ascii="Times New Roman" w:hAnsi="Times New Roman" w:cs="Times New Roman"/>
          <w:sz w:val="24"/>
          <w:szCs w:val="24"/>
        </w:rPr>
      </w:pPr>
      <w:r>
        <w:rPr>
          <w:rFonts w:cs="Times New Roman" w:ascii="Times New Roman" w:hAnsi="Times New Roman"/>
          <w:sz w:val="24"/>
          <w:szCs w:val="24"/>
        </w:rPr>
        <w:t>1. Patronem może być organizacja pozarządowa w rozumieniu art. 3 ust. 2 ustawy o pożytku oraz podmioty, o których mowa w art. 3 ust. 3 UoDPPiW, których statuty zawierają postanowienia wskazujące, iż prowadzą działania skierowane do młodzieży lub też mogą udokumentować prowadzenie takiej działalności w okresie dwóch lat poprzedzających ogłoszenie konkursu ofert.</w:t>
      </w:r>
    </w:p>
    <w:p>
      <w:pPr>
        <w:pStyle w:val="Normal"/>
        <w:spacing w:lineRule="auto" w:line="360" w:before="0" w:after="0"/>
        <w:ind w:left="360"/>
        <w:jc w:val="both"/>
        <w:rPr>
          <w:rFonts w:ascii="Times New Roman" w:hAnsi="Times New Roman" w:cs="Times New Roman"/>
          <w:sz w:val="24"/>
          <w:szCs w:val="24"/>
        </w:rPr>
      </w:pPr>
      <w:r>
        <w:rPr>
          <w:rFonts w:cs="Times New Roman" w:ascii="Times New Roman" w:hAnsi="Times New Roman"/>
          <w:sz w:val="24"/>
          <w:szCs w:val="24"/>
        </w:rPr>
        <w:t>2. Obowiązki Patrona i Samorządowej Grupy Młodzieżowej:</w:t>
      </w:r>
    </w:p>
    <w:p>
      <w:pPr>
        <w:pStyle w:val="ListParagraph"/>
        <w:numPr>
          <w:ilvl w:val="0"/>
          <w:numId w:val="7"/>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Twórcą projektu inicjatywy jest samorządowa grupa młodzieżowa. </w:t>
      </w:r>
    </w:p>
    <w:p>
      <w:pPr>
        <w:pStyle w:val="ListParagraph"/>
        <w:numPr>
          <w:ilvl w:val="0"/>
          <w:numId w:val="7"/>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Patron i młodzieżowa grupa samorządowa podpisują umowę na podstawie której Patron reprezentuje tę grupę (wzór w załączniku nr 2 do Regulaminu). </w:t>
      </w:r>
    </w:p>
    <w:p>
      <w:pPr>
        <w:pStyle w:val="ListParagraph"/>
        <w:numPr>
          <w:ilvl w:val="0"/>
          <w:numId w:val="7"/>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Patron dokonuje wszystkich płatności w projekcie i wszystkie dokumenty finansowe są wystawiane na Patrona. </w:t>
      </w:r>
    </w:p>
    <w:p>
      <w:pPr>
        <w:pStyle w:val="ListParagraph"/>
        <w:numPr>
          <w:ilvl w:val="0"/>
          <w:numId w:val="7"/>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Każdy z ww. podmiotów uprawnionych może złożyć od jednego do maksymalnie dwóch wniosków w edycji 2025. Na granty w wysokości 22 000 zł i 10.000 zł. </w:t>
      </w:r>
    </w:p>
    <w:p>
      <w:pPr>
        <w:pStyle w:val="ListParagraph"/>
        <w:numPr>
          <w:ilvl w:val="0"/>
          <w:numId w:val="7"/>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Organizacja pełniąca funkcję Patrona może ją pełnić dla dowolnej liczby samorządowych grup młodzieżowych.</w:t>
      </w:r>
    </w:p>
    <w:p>
      <w:pPr>
        <w:pStyle w:val="ListParagraph"/>
        <w:numPr>
          <w:ilvl w:val="0"/>
          <w:numId w:val="7"/>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Członkowie organów statutowych (np. zarząd, komisja rewizyjna) organizacji pełniącej funkcję Patrona nie mogą być członkami grup młodzieżowych dla których organizacja jest patronem. </w:t>
      </w:r>
    </w:p>
    <w:p>
      <w:pPr>
        <w:pStyle w:val="ListParagraph"/>
        <w:numPr>
          <w:ilvl w:val="0"/>
          <w:numId w:val="7"/>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 ubiegania się o Małe Granty wyłączeni są członkowie rodzin oraz pracownicy Operatora (tj. osoby, które są lub były zatrudnione w okresie ostatnich 12 miesięcy na podstawie umowy o pracę lub umowy cywilnoprawnej trwającej nieprzerwanie co najmniej 6 m-cy). </w:t>
      </w:r>
    </w:p>
    <w:p>
      <w:pPr>
        <w:pStyle w:val="ListParagraph"/>
        <w:numPr>
          <w:ilvl w:val="0"/>
          <w:numId w:val="7"/>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Patron oświadcza, że ma wdrożone Standardy Ochrony Małoletnich.</w:t>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1"/>
        </w:numPr>
        <w:spacing w:lineRule="auto" w:line="360" w:before="0" w:after="0"/>
        <w:ind w:hanging="0" w:left="0"/>
        <w:contextualSpacing/>
        <w:jc w:val="both"/>
        <w:rPr>
          <w:rFonts w:ascii="Times New Roman" w:hAnsi="Times New Roman" w:cs="Times New Roman"/>
          <w:b/>
          <w:bCs/>
          <w:sz w:val="24"/>
          <w:szCs w:val="24"/>
        </w:rPr>
      </w:pPr>
      <w:r>
        <w:rPr>
          <w:rFonts w:cs="Times New Roman" w:ascii="Times New Roman" w:hAnsi="Times New Roman"/>
          <w:b/>
          <w:bCs/>
          <w:sz w:val="24"/>
          <w:szCs w:val="24"/>
        </w:rPr>
        <w:t>Małe  Granty</w:t>
      </w:r>
    </w:p>
    <w:p>
      <w:pPr>
        <w:pStyle w:val="ListParagraph"/>
        <w:spacing w:lineRule="auto" w:line="360" w:before="0" w:after="0"/>
        <w:ind w:left="0"/>
        <w:contextualSpacing/>
        <w:jc w:val="both"/>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5"/>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 ramach Małego Grantu grupa młodzieżowa działająca przy tej samej organizacji młodzieżowej tj. tego samego samorządu uczniowskiego szkoły ponadpodstawowej lub samorządu studenckiego lub samorządu doktorantów lub uczelnianej organizacji studenckiej lub organizacji doktorantów, które działają przy szkołach i uczelniach wyższych z terenów województwa śląskiego i małopolskiego mogą otrzymać dofinansowanie w wysokości:</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a. 22 000,00 zł (słownie: dwadzieścia dwa tysiące złotych)</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b. 10 000,00 zł (słownie: dziesięć tysięcy złotych)</w:t>
      </w:r>
    </w:p>
    <w:p>
      <w:pPr>
        <w:pStyle w:val="ListParagraph"/>
        <w:numPr>
          <w:ilvl w:val="0"/>
          <w:numId w:val="5"/>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Warunkiem koniecznym do uzyskania Grantu jest zaplanowanie i uwzględnienie, </w:t>
        <w:br/>
        <w:t>co najmniej  5 inicjatyw o charakterze wolontariackim/charytatywnym sfinansowanych ze środków Narodowego Instytutu Wolności – Centrum Rozwoju Społeczeństwa Obywatelskiego w ramach Rządowego Programu Fundusz Młodzieżowy na lata 2022–2033.</w:t>
      </w:r>
    </w:p>
    <w:p>
      <w:pPr>
        <w:pStyle w:val="ListParagraph"/>
        <w:numPr>
          <w:ilvl w:val="0"/>
          <w:numId w:val="5"/>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Warunkiem koniecznym Grantu jest udział młodzieżowej grupy w szkoleniach organizowanych przez operatora, zamieszczonych na stronie: aktywnywolontariat.pl.</w:t>
      </w:r>
    </w:p>
    <w:p>
      <w:pPr>
        <w:pStyle w:val="ListParagraph"/>
        <w:numPr>
          <w:ilvl w:val="0"/>
          <w:numId w:val="5"/>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Młodzieżowe Grupy samorządowe w ramach Grantu podejmują współpracę z Coachem wyznaczonym przez Operatora, który służy im radą, wsparciem i organizuje spotkania z nimi. </w:t>
      </w:r>
    </w:p>
    <w:p>
      <w:pPr>
        <w:pStyle w:val="ListParagraph"/>
        <w:numPr>
          <w:ilvl w:val="0"/>
          <w:numId w:val="5"/>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 udział w projekcie nie można pobierać opłat od uczestników.</w:t>
      </w:r>
    </w:p>
    <w:p>
      <w:pPr>
        <w:pStyle w:val="ListParagraph"/>
        <w:numPr>
          <w:ilvl w:val="0"/>
          <w:numId w:val="5"/>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Przykładowe aktywności, które mogą uzyskać wsparcie: </w:t>
      </w:r>
    </w:p>
    <w:p>
      <w:pPr>
        <w:pStyle w:val="ListParagraph"/>
        <w:numPr>
          <w:ilvl w:val="0"/>
          <w:numId w:val="8"/>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Szkolenia i warsztaty dla liderów samorządów uczniowskich, studenckich                                        i doktoranckich oraz organizacji studenckich i doktoranckich  </w:t>
      </w:r>
    </w:p>
    <w:p>
      <w:pPr>
        <w:pStyle w:val="ListParagraph"/>
        <w:numPr>
          <w:ilvl w:val="0"/>
          <w:numId w:val="8"/>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Podnoszenie umiejętności opiekunów samorządów i uczelnianych organizacji,</w:t>
      </w:r>
    </w:p>
    <w:p>
      <w:pPr>
        <w:pStyle w:val="ListParagraph"/>
        <w:numPr>
          <w:ilvl w:val="0"/>
          <w:numId w:val="8"/>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Akcje charytatywne, wolontariat, flashmob’y, konkursy, zawody sportowe, wydarzenia kulturalne, plebiscyty itp.</w:t>
      </w:r>
    </w:p>
    <w:p>
      <w:pPr>
        <w:pStyle w:val="ListParagraph"/>
        <w:numPr>
          <w:ilvl w:val="0"/>
          <w:numId w:val="8"/>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Współpraca samorządów uczniowskich, studenckich i doktoranckich celem wymiany doświadczeń i realizacji wspólnych projektów,</w:t>
      </w:r>
    </w:p>
    <w:p>
      <w:pPr>
        <w:pStyle w:val="ListParagraph"/>
        <w:numPr>
          <w:ilvl w:val="0"/>
          <w:numId w:val="8"/>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Organizacja  konferencji poświęconych wyzwaniom świata współczesnego                                         z perspektywy młodego pokolenia,</w:t>
      </w:r>
    </w:p>
    <w:p>
      <w:pPr>
        <w:pStyle w:val="ListParagraph"/>
        <w:numPr>
          <w:ilvl w:val="0"/>
          <w:numId w:val="8"/>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Promocja działań samorządu lub organizacji w mediach społecznościowych                                   i tradycyjnych.</w:t>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1"/>
        </w:numPr>
        <w:spacing w:lineRule="auto" w:line="360" w:before="0" w:after="0"/>
        <w:ind w:hanging="0" w:left="0"/>
        <w:contextualSpacing/>
        <w:jc w:val="both"/>
        <w:rPr>
          <w:rFonts w:ascii="Times New Roman" w:hAnsi="Times New Roman" w:cs="Times New Roman"/>
          <w:b/>
          <w:bCs/>
          <w:sz w:val="24"/>
          <w:szCs w:val="24"/>
        </w:rPr>
      </w:pPr>
      <w:r>
        <w:rPr>
          <w:rFonts w:cs="Times New Roman" w:ascii="Times New Roman" w:hAnsi="Times New Roman"/>
          <w:b/>
          <w:bCs/>
          <w:sz w:val="24"/>
          <w:szCs w:val="24"/>
        </w:rPr>
        <w:t>Przeznaczenie grantów</w:t>
      </w:r>
    </w:p>
    <w:p>
      <w:pPr>
        <w:pStyle w:val="ListParagraph"/>
        <w:spacing w:lineRule="auto" w:line="360" w:before="0" w:after="0"/>
        <w:ind w:left="0"/>
        <w:contextualSpacing/>
        <w:jc w:val="both"/>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9"/>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Wniosek złożony na konkurs przez Patrona musi zostać opracowany we współpracy </w:t>
        <w:br/>
        <w:t>z młodzieżową grupą samorządową, stanowiąc odpowiedź na jej potrzeby oraz gwarantując realizację planowanego przedsięwzięcia przez członków grupy.</w:t>
      </w:r>
    </w:p>
    <w:p>
      <w:pPr>
        <w:pStyle w:val="ListParagraph"/>
        <w:numPr>
          <w:ilvl w:val="0"/>
          <w:numId w:val="9"/>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Założenia projektu  powinny wpisywać się w cel główny Rządowego Programu Fundusz Młodzieżowy na lata 2022-2033 jakim jest „zwiększenie zaangażowania młodzieży  i młodzieżowych organizacji pozarządowych w życie publiczne przez wsparcie inicjatyw młodzieżowych, wzrost ich znaczenia w życiu publicznym oraz ich wzmocnienie instytucjonalne”.</w:t>
      </w:r>
    </w:p>
    <w:p>
      <w:pPr>
        <w:pStyle w:val="ListParagraph"/>
        <w:numPr>
          <w:ilvl w:val="0"/>
          <w:numId w:val="9"/>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Środki finansowe otrzymane przez Patrona (realizatora projektu) muszą być przeznaczone na działalność pożytku publicznego prowadzoną w sferze zadań publicznych określonych w art. 4 ustawy z dnia 24 kwietnia 2003 r. o działalności pożytku publicznego i o wolontariacie.</w:t>
      </w:r>
    </w:p>
    <w:p>
      <w:pPr>
        <w:pStyle w:val="ListParagraph"/>
        <w:numPr>
          <w:ilvl w:val="0"/>
          <w:numId w:val="9"/>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Projekt opisany we wniosku powinien zakładać rozpoczęcie realizacji od dnia 1.01.2025 r.  r. oraz ich zakończenie nie później niż do 31.12.2025 r.</w:t>
      </w:r>
    </w:p>
    <w:p>
      <w:pPr>
        <w:pStyle w:val="ListParagraph"/>
        <w:numPr>
          <w:ilvl w:val="0"/>
          <w:numId w:val="9"/>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Operator zastrzega sobie prawo do dokonywania wszelkich płatności związanych z realizacją projektu wyłącznie w drodze bezgotówkowej ( przelew, karta płatnicza)</w:t>
      </w:r>
    </w:p>
    <w:p>
      <w:pPr>
        <w:pStyle w:val="ListParagraph"/>
        <w:numPr>
          <w:ilvl w:val="0"/>
          <w:numId w:val="1"/>
        </w:numPr>
        <w:spacing w:lineRule="auto" w:line="360" w:before="0" w:after="0"/>
        <w:ind w:hanging="0" w:left="0"/>
        <w:contextualSpacing/>
        <w:jc w:val="both"/>
        <w:rPr>
          <w:rFonts w:ascii="Times New Roman" w:hAnsi="Times New Roman" w:cs="Times New Roman"/>
          <w:b/>
          <w:bCs/>
          <w:sz w:val="24"/>
          <w:szCs w:val="24"/>
        </w:rPr>
      </w:pPr>
      <w:r>
        <w:rPr>
          <w:rFonts w:cs="Times New Roman" w:ascii="Times New Roman" w:hAnsi="Times New Roman"/>
          <w:b/>
          <w:bCs/>
          <w:sz w:val="24"/>
          <w:szCs w:val="24"/>
        </w:rPr>
        <w:t>Koszty kwalifikowalne i niekwalifikowalne</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0"/>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Wydatki poniesione w ramach realizacji projektu muszą być:</w:t>
        <w:br/>
        <w:t>a. Niezbędne dla realizacji projektu,</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b. Racjonalne i efektywne,</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c. Faktycznie poniesione w okresie realizacji projektu,</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d. Udokumentowane,</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e. Przewidziane w budżecie projektu,</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f. Zgodne z odrębnymi przepisami prawa powszechnie obowiązującego.</w:t>
      </w:r>
    </w:p>
    <w:p>
      <w:pPr>
        <w:pStyle w:val="ListParagraph"/>
        <w:numPr>
          <w:ilvl w:val="0"/>
          <w:numId w:val="10"/>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Koszty obsługi projektu ponosi organizacja patronacka (wynagrodzenie koordynatora, księgowej, koszty biurowe –telefon, czynsz, prąd) są kwalifikowane do wysokości 10% wypłacanej </w:t>
      </w:r>
      <w:bookmarkStart w:id="0" w:name="_GoBack"/>
      <w:bookmarkEnd w:id="0"/>
      <w:r>
        <w:rPr>
          <w:rFonts w:cs="Times New Roman" w:ascii="Times New Roman" w:hAnsi="Times New Roman"/>
          <w:sz w:val="24"/>
          <w:szCs w:val="24"/>
        </w:rPr>
        <w:t>dotacji.</w:t>
      </w:r>
    </w:p>
    <w:p>
      <w:pPr>
        <w:pStyle w:val="ListParagraph"/>
        <w:numPr>
          <w:ilvl w:val="0"/>
          <w:numId w:val="10"/>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Do wydatków, które nie mogą być finansowane w ramach Konkursu, należą wydatki</w:t>
        <w:br/>
        <w:t>nie odnoszące się jednoznacznie do projektu, a także w szczególności:</w:t>
        <w:br/>
        <w:t>a. Podatek od towarów i usług (VAT), jeśli może zostać odliczony w oparciu o ustawę z dnia 11 marca 2004 r. o podatku od towarów i usług;</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b. Zakup nieruchomości gruntowej, lokalowej, budowlanej;</w:t>
        <w:br/>
        <w:t xml:space="preserve">c. Zakup środków trwałych (w rozumieniu art. 3 ust. 1 pkt. 15 ustawy z dnia 29 września 1994 r.o rachunkowości oraz art. 16a ust. 1 w zw. z art. 16d ust. 1 ustawy z dnia </w:t>
        <w:br/>
        <w:t>15 lutego 1992 r. o podatku dochodowym od osób prawnych);</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d. Amortyzacja;</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e. Leasing;</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f. Rezerwy na pokrycie przyszłych strat lub zobowiązań;</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g. Odsetki z tytułu niezapłaconych w terminie zobowiązań;</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h. Koszty kar i grzywien;</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i. Koszty procesów sądowych;</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j. Nagrody, premie i inne formy bonifikaty rzeczowej lub finansowej dla osób zajmujących się realizacją zadania;</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k. Koszty obsługi konta bankowego (nie dotyczy kosztów przelewów);</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l. Zakup napojów alkoholowych (jest to niezgodne z art. 4 ust. 1 pkt 32 UoDPPioW oraz art. 1 ust. 1 ustawy z dnia 26 października 1982 r. o wychowaniu w trzeźwości </w:t>
        <w:br/>
        <w:t>i przeciwdziałaniu alkoholizmowi);</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m. Podatki i opłaty z wyłączeniem podatku dochodowego od osób fizycznych, składek na ubezpieczenie społeczne i zdrowotne, składek na Fundusz Pracy oraz Fundusz Gwarantowanych Świadczeń Pracowniczych, a także opłat za zaświadczenie </w:t>
        <w:br/>
        <w:t>o niekaralności oraz opłaty za zajęcie pasa drogowego);</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n. Koszty wyjazdów służbowych osób zaangażowanych w realizację projektu na podstawie umowy cywilnoprawnej, chyba, że umowa przewiduje zwrot kosztów podróży.</w:t>
      </w:r>
    </w:p>
    <w:p>
      <w:pPr>
        <w:pStyle w:val="ListParagraph"/>
        <w:numPr>
          <w:ilvl w:val="0"/>
          <w:numId w:val="10"/>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Niedozwolone jest podwójne finansowanie wydatku, czyli całkowite lub częściowe pokrycie tego samego wydatku dwa razy ze środków publicznych.</w:t>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1"/>
        </w:numPr>
        <w:spacing w:lineRule="auto" w:line="360" w:before="0" w:after="0"/>
        <w:ind w:hanging="0" w:left="0"/>
        <w:contextualSpacing/>
        <w:jc w:val="both"/>
        <w:rPr>
          <w:rFonts w:ascii="Times New Roman" w:hAnsi="Times New Roman" w:cs="Times New Roman"/>
          <w:b/>
          <w:bCs/>
          <w:sz w:val="24"/>
          <w:szCs w:val="24"/>
        </w:rPr>
      </w:pPr>
      <w:r>
        <w:rPr>
          <w:rFonts w:cs="Times New Roman" w:ascii="Times New Roman" w:hAnsi="Times New Roman"/>
          <w:b/>
          <w:bCs/>
          <w:sz w:val="24"/>
          <w:szCs w:val="24"/>
        </w:rPr>
        <w:t>Nabór formularzy wniosków</w:t>
      </w:r>
    </w:p>
    <w:p>
      <w:pPr>
        <w:pStyle w:val="ListParagraph"/>
        <w:numPr>
          <w:ilvl w:val="0"/>
          <w:numId w:val="1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Nabór wniosków na realizację projektów prowadzony będzie od dnia ogłoszenia Konkursu. Informację o naborze będą zamieszczone  na stronie: www.aktywnywolontariat.pl.</w:t>
      </w:r>
    </w:p>
    <w:p>
      <w:pPr>
        <w:pStyle w:val="ListParagraph"/>
        <w:numPr>
          <w:ilvl w:val="0"/>
          <w:numId w:val="1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Wnioski, które wpłyną po terminie naboru wniosków nie będą rozpatrywane.</w:t>
      </w:r>
    </w:p>
    <w:p>
      <w:pPr>
        <w:pStyle w:val="ListParagraph"/>
        <w:numPr>
          <w:ilvl w:val="0"/>
          <w:numId w:val="1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Złożenie Wniosku w Konkursie następuje poprzez:</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a. Wysłanie podpisanego Wniosku pocztą elektroniczną na adres  Caritas Diecezji Sosnowieckiej: </w:t>
      </w:r>
      <w:hyperlink r:id="rId2">
        <w:r>
          <w:rPr>
            <w:rStyle w:val="Hyperlink"/>
            <w:rFonts w:cs="Times New Roman" w:ascii="Times New Roman" w:hAnsi="Times New Roman"/>
            <w:sz w:val="24"/>
            <w:szCs w:val="24"/>
          </w:rPr>
          <w:t>sosnowiec@caritas.pl</w:t>
        </w:r>
      </w:hyperlink>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b. Dostarczenie podpisanego Wniosku osobiście do sekretariatu Caritas Diecezji Sosnowieckiej: 41-200 Sosnowiec, ul. Korczaka 5.</w:t>
      </w:r>
    </w:p>
    <w:p>
      <w:pPr>
        <w:pStyle w:val="ListParagraph"/>
        <w:numPr>
          <w:ilvl w:val="0"/>
          <w:numId w:val="1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zakwalifikowaniu do Konkursu decyduje data i godzina wpływu Wniosku </w:t>
        <w:br/>
        <w:t>do Operatora:</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a. W przypadku wysłania zeskanowanego wniosku mailem, Wniosek musi zostać wysłany najpóźniej do 23.59 ostatniego dnia naboru.</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b. W przypadku wysłania Wniosku pocztą decyduje data wpływu (a nie data stempla pocztowego) najpóźniej do 15.59 ostatniego dnia naboru.</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c. W przypadku złożenia Wniosku osobiście – można tego dokonać najpóźniej do 15.59 ostatniego dnia naboru.</w:t>
      </w:r>
    </w:p>
    <w:p>
      <w:pPr>
        <w:pStyle w:val="ListParagraph"/>
        <w:numPr>
          <w:ilvl w:val="0"/>
          <w:numId w:val="1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 przypadku wysłania zeskanowanego podpisanego Wniosku mailem, oryginał Wniosku wymagany jest dopiero na etapie podpisywania umowy po zakwalifikowaniu Wniosku do finansowania.</w:t>
      </w:r>
    </w:p>
    <w:p>
      <w:pPr>
        <w:pStyle w:val="ListParagraph"/>
        <w:numPr>
          <w:ilvl w:val="0"/>
          <w:numId w:val="1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Operator zastrzega sobie możliwość ogłoszenia kolejnego naboru w przypadku niewykorzystania całej puli środków w pierwszym naborze. O terminie kolejnego naboru wniosków Operator poinformuje na </w:t>
      </w:r>
      <w:hyperlink r:id="rId3">
        <w:r>
          <w:rPr>
            <w:rStyle w:val="Hyperlink"/>
            <w:rFonts w:cs="Times New Roman" w:ascii="Times New Roman" w:hAnsi="Times New Roman"/>
            <w:sz w:val="24"/>
            <w:szCs w:val="24"/>
          </w:rPr>
          <w:t>www.aktywnywolontariat.pl</w:t>
        </w:r>
      </w:hyperlink>
    </w:p>
    <w:p>
      <w:pPr>
        <w:pStyle w:val="ListParagraph"/>
        <w:numPr>
          <w:ilvl w:val="0"/>
          <w:numId w:val="1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Wnioskodawca uzupełnia w języku polskim Wniosek, który stanowi załącznik nr 1 </w:t>
        <w:br/>
        <w:t>do niniejszego Regulaminu.</w:t>
      </w:r>
    </w:p>
    <w:p>
      <w:pPr>
        <w:pStyle w:val="ListParagraph"/>
        <w:numPr>
          <w:ilvl w:val="0"/>
          <w:numId w:val="1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Wnioski złożone na innym wzorze nie będą rozpatrywane.</w:t>
      </w:r>
    </w:p>
    <w:p>
      <w:pPr>
        <w:pStyle w:val="ListParagraph"/>
        <w:numPr>
          <w:ilvl w:val="0"/>
          <w:numId w:val="1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Zabronione jest zgłaszanie inicjatyw sprzecznych z prawem, dobrymi obyczajami, naruszających prawa osób trzecich, nawołujących do dyskryminacji, nienawiści, propagujących spożywanie alkoholu lub innych używek.</w:t>
      </w:r>
    </w:p>
    <w:p>
      <w:pPr>
        <w:pStyle w:val="ListParagraph"/>
        <w:numPr>
          <w:ilvl w:val="0"/>
          <w:numId w:val="1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Wpływające wnioski będą systematycznie oceniane przez komisję konkursową. Informacja o przyznaniu bądź nie przyznaniu grantu zostanie zamieszczona na stronie </w:t>
      </w:r>
      <w:hyperlink r:id="rId4">
        <w:r>
          <w:rPr>
            <w:rStyle w:val="Hyperlink"/>
            <w:rFonts w:cs="Times New Roman" w:ascii="Times New Roman" w:hAnsi="Times New Roman"/>
            <w:sz w:val="24"/>
            <w:szCs w:val="24"/>
          </w:rPr>
          <w:t>www.aktywnywolontariat.pl</w:t>
        </w:r>
      </w:hyperlink>
      <w:r>
        <w:rPr/>
        <w:t>.</w:t>
      </w:r>
    </w:p>
    <w:p>
      <w:pPr>
        <w:pStyle w:val="ListParagraph"/>
        <w:numPr>
          <w:ilvl w:val="0"/>
          <w:numId w:val="1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Gdy pula grantów zostanie wykorzystana to nabór zostanie zamknięty. Informacja o zakończeniu naboru zostanie opublikowana na stronie </w:t>
      </w:r>
      <w:hyperlink r:id="rId5" w:tgtFrame="_new">
        <w:r>
          <w:rPr>
            <w:rStyle w:val="Hyperlink"/>
            <w:rFonts w:cs="Times New Roman" w:ascii="Times New Roman" w:hAnsi="Times New Roman"/>
            <w:sz w:val="24"/>
            <w:szCs w:val="24"/>
          </w:rPr>
          <w:t>www.aktywnywolontariat.pl</w:t>
        </w:r>
      </w:hyperlink>
      <w:r>
        <w:rPr>
          <w:rFonts w:cs="Times New Roman" w:ascii="Times New Roman" w:hAnsi="Times New Roman"/>
          <w:sz w:val="24"/>
          <w:szCs w:val="24"/>
        </w:rPr>
        <w:t>.</w:t>
      </w:r>
    </w:p>
    <w:p>
      <w:pPr>
        <w:pStyle w:val="Normal"/>
        <w:spacing w:lineRule="auto" w:line="360" w:before="0" w:after="0"/>
        <w:ind w:left="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360" w:before="0" w:after="0"/>
        <w:ind w:hanging="0" w:left="0"/>
        <w:contextualSpacing/>
        <w:jc w:val="both"/>
        <w:rPr>
          <w:rFonts w:ascii="Times New Roman" w:hAnsi="Times New Roman" w:cs="Times New Roman"/>
          <w:b/>
          <w:bCs/>
          <w:sz w:val="24"/>
          <w:szCs w:val="24"/>
        </w:rPr>
      </w:pPr>
      <w:r>
        <w:rPr>
          <w:rFonts w:cs="Times New Roman" w:ascii="Times New Roman" w:hAnsi="Times New Roman"/>
          <w:b/>
          <w:bCs/>
          <w:sz w:val="24"/>
          <w:szCs w:val="24"/>
        </w:rPr>
        <w:t>Ocena Wniosków</w:t>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1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Przyznawanie Grantów odbywa się w drodze Konkursu, co oznacza, że złożenie wniosku nie jest równoznaczne z przyznaniem środków.</w:t>
      </w:r>
    </w:p>
    <w:p>
      <w:pPr>
        <w:pStyle w:val="ListParagraph"/>
        <w:numPr>
          <w:ilvl w:val="0"/>
          <w:numId w:val="1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Komisja 5-osobowa składać się będzie z coacha, osoby z zewnątrz wskazanej przez dyrektora Caritas Diecezji Sosnowieckiej, księgowej, specjalisty ds. projektów, specjalistę merytorycznego.</w:t>
      </w:r>
    </w:p>
    <w:p>
      <w:pPr>
        <w:pStyle w:val="ListParagraph"/>
        <w:numPr>
          <w:ilvl w:val="0"/>
          <w:numId w:val="1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Formularze zgłoszeniowe Grantów przesłane do Konkursu będą ocenione pod względem formalnym i merytorycznym przez Komisję Konkursową.</w:t>
      </w:r>
    </w:p>
    <w:p>
      <w:pPr>
        <w:pStyle w:val="ListParagraph"/>
        <w:numPr>
          <w:ilvl w:val="0"/>
          <w:numId w:val="1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Formularze niekompletne, złożone po terminie lub według innego wzoru uznane zostaną za niespełniające warunków formalnych i nie będą rozpatrywane.</w:t>
      </w:r>
    </w:p>
    <w:p>
      <w:pPr>
        <w:pStyle w:val="ListParagraph"/>
        <w:numPr>
          <w:ilvl w:val="0"/>
          <w:numId w:val="1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Ocena Komisji jest ostateczna i nie przysługuje od niej odwołanie.</w:t>
      </w:r>
    </w:p>
    <w:p>
      <w:pPr>
        <w:pStyle w:val="ListParagraph"/>
        <w:numPr>
          <w:ilvl w:val="0"/>
          <w:numId w:val="1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Członkowie Komisji mają prawo do telefonicznego kontaktu z wnioskodawcami </w:t>
        <w:br/>
        <w:t>i realizatorami w celu wyjaśnienia fragmentów niezrozumiałych, niespójnych lub niejasnych.</w:t>
      </w:r>
    </w:p>
    <w:p>
      <w:pPr>
        <w:pStyle w:val="ListParagraph"/>
        <w:numPr>
          <w:ilvl w:val="0"/>
          <w:numId w:val="1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Komisja Oceniająca Wnioski zastrzega sobie prawo do przyznania niższej kwoty dotacji niż wnioskowana.</w:t>
      </w:r>
    </w:p>
    <w:p>
      <w:pPr>
        <w:pStyle w:val="ListParagraph"/>
        <w:numPr>
          <w:ilvl w:val="0"/>
          <w:numId w:val="1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Wnioski będą oceniane na podstawie Karty Oceny Wniosków (załącznik nr 6 </w:t>
        <w:br/>
        <w:t>do Regulaminu)</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360" w:before="0" w:after="0"/>
        <w:ind w:hanging="0" w:left="0"/>
        <w:contextualSpacing/>
        <w:jc w:val="both"/>
        <w:rPr>
          <w:rFonts w:ascii="Times New Roman" w:hAnsi="Times New Roman" w:cs="Times New Roman"/>
          <w:b/>
          <w:bCs/>
          <w:sz w:val="24"/>
          <w:szCs w:val="24"/>
        </w:rPr>
      </w:pPr>
      <w:r>
        <w:rPr>
          <w:rFonts w:cs="Times New Roman" w:ascii="Times New Roman" w:hAnsi="Times New Roman"/>
          <w:b/>
          <w:bCs/>
          <w:sz w:val="24"/>
          <w:szCs w:val="24"/>
        </w:rPr>
        <w:t>Zawarcie umowy oraz wypłata dofinansowania</w:t>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13"/>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Zawarcie umowy o powierzenie grantu nastąpi w siedzibie Operatora, w innym uzgodnionym pomiędzy Operatorem a Patronem miejscu albo odbędzie się drogą korespondencyjną.</w:t>
      </w:r>
    </w:p>
    <w:p>
      <w:pPr>
        <w:pStyle w:val="ListParagraph"/>
        <w:numPr>
          <w:ilvl w:val="0"/>
          <w:numId w:val="13"/>
        </w:numPr>
        <w:spacing w:lineRule="auto" w:line="360" w:before="0" w:after="0"/>
        <w:contextualSpacing/>
        <w:jc w:val="both"/>
        <w:rPr>
          <w:rFonts w:ascii="Times New Roman" w:hAnsi="Times New Roman" w:cs="Times New Roman"/>
          <w:b/>
          <w:bCs/>
          <w:sz w:val="24"/>
          <w:szCs w:val="24"/>
        </w:rPr>
      </w:pPr>
      <w:r>
        <w:rPr>
          <w:rFonts w:cs="Times New Roman" w:ascii="Times New Roman" w:hAnsi="Times New Roman"/>
          <w:sz w:val="24"/>
          <w:szCs w:val="24"/>
        </w:rPr>
        <w:t>Grant zostanie wypłacony jednorazowo przelewem na konto bankowe Patrona wskazane w umowie w terminie 14 dni od jej podpisania, pod warunkiem posiadania przez Operatora środków finansowych na ten cel.</w:t>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t>XI. Sprawozdawczość</w:t>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1"/>
          <w:numId w:val="1"/>
        </w:numPr>
        <w:spacing w:lineRule="auto" w:line="360" w:before="0" w:after="0"/>
        <w:ind w:hanging="360" w:left="567"/>
        <w:contextualSpacing/>
        <w:jc w:val="both"/>
        <w:rPr>
          <w:rFonts w:ascii="Times New Roman" w:hAnsi="Times New Roman" w:cs="Times New Roman"/>
          <w:sz w:val="24"/>
          <w:szCs w:val="24"/>
        </w:rPr>
      </w:pPr>
      <w:r>
        <w:rPr>
          <w:rFonts w:cs="Times New Roman" w:ascii="Times New Roman" w:hAnsi="Times New Roman"/>
          <w:sz w:val="24"/>
          <w:szCs w:val="24"/>
        </w:rPr>
        <w:t>Patron (realizator projektu) powinien wykorzystać otrzymane środki finansowe zgodnie                   z wnioskiem o udzielenie grantu i na warunkach określonych w umowie o powierzenie grantu.</w:t>
      </w:r>
    </w:p>
    <w:p>
      <w:pPr>
        <w:pStyle w:val="ListParagraph"/>
        <w:numPr>
          <w:ilvl w:val="1"/>
          <w:numId w:val="1"/>
        </w:numPr>
        <w:spacing w:lineRule="auto" w:line="360" w:before="0" w:after="0"/>
        <w:ind w:hanging="360" w:left="567"/>
        <w:contextualSpacing/>
        <w:jc w:val="both"/>
        <w:rPr>
          <w:rFonts w:ascii="Times New Roman" w:hAnsi="Times New Roman" w:cs="Times New Roman"/>
          <w:sz w:val="24"/>
          <w:szCs w:val="24"/>
        </w:rPr>
      </w:pPr>
      <w:r>
        <w:rPr>
          <w:rFonts w:cs="Times New Roman" w:ascii="Times New Roman" w:hAnsi="Times New Roman"/>
          <w:sz w:val="24"/>
          <w:szCs w:val="24"/>
        </w:rPr>
        <w:t xml:space="preserve">Realizatorzy projektów zobligowani są do prowadzenia księgowości projektu zgodnie                     z obowiązującym prawem, w sposób umożliwiający identyfikację poszczególnych operacji księgowych. Oznacza to w szczególności obowiązek gromadzenia oraz odpowiedniego opisywania dowodów księgowych potwierdzających sfinansowanie </w:t>
        <w:br/>
        <w:t>z otrzymanego grantu wydatków związanych z realizacją projektu.</w:t>
      </w:r>
    </w:p>
    <w:p>
      <w:pPr>
        <w:pStyle w:val="ListParagraph"/>
        <w:numPr>
          <w:ilvl w:val="1"/>
          <w:numId w:val="1"/>
        </w:numPr>
        <w:spacing w:lineRule="auto" w:line="360" w:before="0" w:after="0"/>
        <w:ind w:hanging="360" w:left="567"/>
        <w:contextualSpacing/>
        <w:rPr>
          <w:rFonts w:ascii="Times New Roman" w:hAnsi="Times New Roman" w:cs="Times New Roman"/>
          <w:sz w:val="24"/>
          <w:szCs w:val="24"/>
        </w:rPr>
      </w:pPr>
      <w:r>
        <w:rPr>
          <w:rFonts w:cs="Times New Roman" w:ascii="Times New Roman" w:hAnsi="Times New Roman"/>
          <w:sz w:val="24"/>
          <w:szCs w:val="24"/>
        </w:rPr>
        <w:t>Dokumenty księgowe potwierdzające poniesienie wydatku w ramach projektu muszą:</w:t>
      </w:r>
    </w:p>
    <w:p>
      <w:pPr>
        <w:pStyle w:val="ListParagraph"/>
        <w:spacing w:lineRule="auto" w:line="360" w:before="0" w:after="0"/>
        <w:ind w:left="567"/>
        <w:contextualSpacing/>
        <w:jc w:val="both"/>
        <w:rPr>
          <w:rFonts w:ascii="Times New Roman" w:hAnsi="Times New Roman" w:cs="Times New Roman"/>
          <w:sz w:val="24"/>
          <w:szCs w:val="24"/>
        </w:rPr>
      </w:pPr>
      <w:r>
        <w:rPr>
          <w:rFonts w:cs="Times New Roman" w:ascii="Times New Roman" w:hAnsi="Times New Roman"/>
          <w:sz w:val="24"/>
          <w:szCs w:val="24"/>
        </w:rPr>
        <w:t>a. Wskazywać Patrona (realizatora projektu) jako jedną ze stron operacji gospodarczej - jako nabywcę, odbiorcę, zleceniodawcę;</w:t>
      </w:r>
    </w:p>
    <w:p>
      <w:pPr>
        <w:pStyle w:val="ListParagraph"/>
        <w:spacing w:lineRule="auto" w:line="360" w:before="0" w:after="0"/>
        <w:ind w:left="567"/>
        <w:contextualSpacing/>
        <w:jc w:val="both"/>
        <w:rPr>
          <w:rFonts w:ascii="Times New Roman" w:hAnsi="Times New Roman" w:cs="Times New Roman"/>
          <w:sz w:val="24"/>
          <w:szCs w:val="24"/>
        </w:rPr>
      </w:pPr>
      <w:r>
        <w:rPr>
          <w:rFonts w:cs="Times New Roman" w:ascii="Times New Roman" w:hAnsi="Times New Roman"/>
          <w:sz w:val="24"/>
          <w:szCs w:val="24"/>
        </w:rPr>
        <w:t>b. Być wystawione w terminie realizacji projektu;</w:t>
      </w:r>
    </w:p>
    <w:p>
      <w:pPr>
        <w:pStyle w:val="ListParagraph"/>
        <w:spacing w:lineRule="auto" w:line="360" w:before="0" w:after="0"/>
        <w:ind w:left="567"/>
        <w:contextualSpacing/>
        <w:jc w:val="both"/>
        <w:rPr>
          <w:rFonts w:ascii="Times New Roman" w:hAnsi="Times New Roman" w:cs="Times New Roman"/>
          <w:sz w:val="24"/>
          <w:szCs w:val="24"/>
        </w:rPr>
      </w:pPr>
      <w:r>
        <w:rPr>
          <w:rFonts w:cs="Times New Roman" w:ascii="Times New Roman" w:hAnsi="Times New Roman"/>
          <w:sz w:val="24"/>
          <w:szCs w:val="24"/>
        </w:rPr>
        <w:t>c. Zostać opłacone nie wcześniej niż w dniu rozpoczęcia projektu i nie później niż do dnia zakończenia projektu.</w:t>
      </w:r>
    </w:p>
    <w:p>
      <w:pPr>
        <w:pStyle w:val="ListParagraph"/>
        <w:numPr>
          <w:ilvl w:val="1"/>
          <w:numId w:val="1"/>
        </w:numPr>
        <w:spacing w:lineRule="auto" w:line="360" w:before="0" w:after="0"/>
        <w:ind w:hanging="360" w:left="567"/>
        <w:contextualSpacing/>
        <w:jc w:val="both"/>
        <w:rPr>
          <w:rFonts w:ascii="Times New Roman" w:hAnsi="Times New Roman" w:cs="Times New Roman"/>
          <w:sz w:val="24"/>
          <w:szCs w:val="24"/>
        </w:rPr>
      </w:pPr>
      <w:r>
        <w:rPr>
          <w:rFonts w:cs="Times New Roman" w:ascii="Times New Roman" w:hAnsi="Times New Roman"/>
          <w:sz w:val="24"/>
          <w:szCs w:val="24"/>
        </w:rPr>
        <w:t xml:space="preserve">Realizatorzy projektów zobligowani są ponadto do promocji swoich przedsięwzięć </w:t>
        <w:br/>
        <w:t>w środowisku lokalnym, w tym do informowania o środkach otrzymanych w ramach Rządowego Programu Fundusz Młodzieżowy na lata 2022-2033. Szczegółowe obowiązki Patrona w zakresie informacji określa umowa o powierzenie grantu.</w:t>
      </w:r>
    </w:p>
    <w:p>
      <w:pPr>
        <w:pStyle w:val="ListParagraph"/>
        <w:numPr>
          <w:ilvl w:val="1"/>
          <w:numId w:val="1"/>
        </w:numPr>
        <w:spacing w:lineRule="auto" w:line="360" w:before="0" w:after="0"/>
        <w:ind w:hanging="360" w:left="567"/>
        <w:contextualSpacing/>
        <w:jc w:val="both"/>
        <w:rPr>
          <w:rFonts w:ascii="Times New Roman" w:hAnsi="Times New Roman" w:cs="Times New Roman"/>
          <w:sz w:val="24"/>
          <w:szCs w:val="24"/>
        </w:rPr>
      </w:pPr>
      <w:r>
        <w:rPr>
          <w:rFonts w:cs="Times New Roman" w:ascii="Times New Roman" w:hAnsi="Times New Roman"/>
          <w:sz w:val="24"/>
          <w:szCs w:val="24"/>
        </w:rPr>
        <w:t>W terminie 14 dni od zakończenia realizacji wniosku Realizator składa do Operatora sprawozdanie końcowe z projektu stanowiące załącznik nr 3 do Regulaminu.</w:t>
      </w:r>
    </w:p>
    <w:p>
      <w:pPr>
        <w:pStyle w:val="ListParagraph"/>
        <w:numPr>
          <w:ilvl w:val="1"/>
          <w:numId w:val="1"/>
        </w:numPr>
        <w:spacing w:lineRule="auto" w:line="360" w:before="0" w:after="0"/>
        <w:ind w:hanging="360" w:left="567"/>
        <w:contextualSpacing/>
        <w:jc w:val="both"/>
        <w:rPr>
          <w:rFonts w:ascii="Times New Roman" w:hAnsi="Times New Roman" w:cs="Times New Roman"/>
          <w:sz w:val="24"/>
          <w:szCs w:val="24"/>
        </w:rPr>
      </w:pPr>
      <w:r>
        <w:rPr>
          <w:rFonts w:cs="Times New Roman" w:ascii="Times New Roman" w:hAnsi="Times New Roman"/>
          <w:sz w:val="24"/>
          <w:szCs w:val="24"/>
        </w:rPr>
        <w:t xml:space="preserve">Po zaakceptowaniu wersji elektronicznej sprawozdanie należy wydrukować, podpisać </w:t>
        <w:br/>
        <w:t>i dostarczyć wraz z załącznikami do siedziby Operatora (osobiście lub za pośrednictwem poczty/kuriera) w terminie do 25 dni od zakończenia projektu.</w:t>
      </w:r>
    </w:p>
    <w:p>
      <w:pPr>
        <w:pStyle w:val="ListParagraph"/>
        <w:numPr>
          <w:ilvl w:val="1"/>
          <w:numId w:val="1"/>
        </w:numPr>
        <w:spacing w:lineRule="auto" w:line="360" w:before="0" w:after="0"/>
        <w:ind w:hanging="360" w:left="567"/>
        <w:contextualSpacing/>
        <w:jc w:val="both"/>
        <w:rPr>
          <w:rFonts w:ascii="Times New Roman" w:hAnsi="Times New Roman" w:cs="Times New Roman"/>
          <w:sz w:val="24"/>
          <w:szCs w:val="24"/>
        </w:rPr>
      </w:pPr>
      <w:r>
        <w:rPr>
          <w:rFonts w:cs="Times New Roman" w:ascii="Times New Roman" w:hAnsi="Times New Roman"/>
          <w:sz w:val="24"/>
          <w:szCs w:val="24"/>
        </w:rPr>
        <w:t>Niewywiązanie się z obowiązku sprawozdawczości w określonym przez Operatora terminie może skutkować wezwaniem do zwrotu części lub całości przyznanej dotacji.</w:t>
      </w:r>
    </w:p>
    <w:p>
      <w:pPr>
        <w:pStyle w:val="ListParagraph"/>
        <w:numPr>
          <w:ilvl w:val="1"/>
          <w:numId w:val="1"/>
        </w:numPr>
        <w:spacing w:lineRule="auto" w:line="360" w:before="0" w:after="0"/>
        <w:ind w:hanging="360" w:left="567"/>
        <w:contextualSpacing/>
        <w:jc w:val="both"/>
        <w:rPr>
          <w:rFonts w:ascii="Times New Roman" w:hAnsi="Times New Roman" w:cs="Times New Roman"/>
          <w:sz w:val="24"/>
          <w:szCs w:val="24"/>
        </w:rPr>
      </w:pPr>
      <w:r>
        <w:rPr>
          <w:rFonts w:cs="Times New Roman" w:ascii="Times New Roman" w:hAnsi="Times New Roman"/>
          <w:sz w:val="24"/>
          <w:szCs w:val="24"/>
        </w:rPr>
        <w:t>W przypadku stwierdzenia przez Operatora, że złożone sprawozdanie zawiera błędy, braki lub elementy wymagające wyjaśnienia, Operator zwróci się drogą elektroniczną do Patrona z prośbą o korektę sprawozdania, jego uzupełnienie i/lub złożenie dodatkowych wyjaśnień.</w:t>
      </w:r>
    </w:p>
    <w:p>
      <w:pPr>
        <w:pStyle w:val="ListParagraph"/>
        <w:numPr>
          <w:ilvl w:val="1"/>
          <w:numId w:val="1"/>
        </w:numPr>
        <w:spacing w:lineRule="auto" w:line="360" w:before="0" w:after="0"/>
        <w:ind w:hanging="360" w:left="567"/>
        <w:contextualSpacing/>
        <w:jc w:val="both"/>
        <w:rPr>
          <w:rFonts w:ascii="Times New Roman" w:hAnsi="Times New Roman" w:cs="Times New Roman"/>
          <w:sz w:val="24"/>
          <w:szCs w:val="24"/>
        </w:rPr>
      </w:pPr>
      <w:r>
        <w:rPr>
          <w:rFonts w:cs="Times New Roman" w:ascii="Times New Roman" w:hAnsi="Times New Roman"/>
          <w:sz w:val="24"/>
          <w:szCs w:val="24"/>
        </w:rPr>
        <w:t>Sprawozdanie powinno zawierać:</w:t>
      </w:r>
    </w:p>
    <w:p>
      <w:pPr>
        <w:pStyle w:val="ListParagraph"/>
        <w:spacing w:lineRule="auto" w:line="360" w:before="0" w:after="0"/>
        <w:ind w:left="567"/>
        <w:contextualSpacing/>
        <w:jc w:val="both"/>
        <w:rPr>
          <w:rFonts w:ascii="Times New Roman" w:hAnsi="Times New Roman" w:cs="Times New Roman"/>
          <w:sz w:val="24"/>
          <w:szCs w:val="24"/>
        </w:rPr>
      </w:pPr>
      <w:r>
        <w:rPr>
          <w:rFonts w:cs="Times New Roman" w:ascii="Times New Roman" w:hAnsi="Times New Roman"/>
          <w:sz w:val="24"/>
          <w:szCs w:val="24"/>
        </w:rPr>
        <w:t>a. Wykaz faktur i rachunków związanych z realizacją projektu,</w:t>
        <w:br/>
        <w:t xml:space="preserve">b. Fotografie dokumentujące przebieg Projektu - należy obowiązkowo dołączyć </w:t>
        <w:br/>
        <w:t>co najmniej 5 zdjęć (preferowane w formacie JPEG, w rozdzielczości minimalnej 800x600 pikseli oraz 300 dpi)</w:t>
      </w:r>
    </w:p>
    <w:p>
      <w:pPr>
        <w:pStyle w:val="ListParagraph"/>
        <w:spacing w:lineRule="auto" w:line="360" w:before="0" w:after="0"/>
        <w:ind w:left="567"/>
        <w:contextualSpacing/>
        <w:jc w:val="both"/>
        <w:rPr>
          <w:rFonts w:ascii="Times New Roman" w:hAnsi="Times New Roman" w:cs="Times New Roman"/>
          <w:sz w:val="24"/>
          <w:szCs w:val="24"/>
        </w:rPr>
      </w:pPr>
      <w:r>
        <w:rPr>
          <w:rFonts w:cs="Times New Roman" w:ascii="Times New Roman" w:hAnsi="Times New Roman"/>
          <w:sz w:val="24"/>
          <w:szCs w:val="24"/>
        </w:rPr>
        <w:t xml:space="preserve">c. Materiały audiowizualne obowiązkowo prezentację ewentualnie filmy, spoty, które powstały w ramach Projektu (można dołączyć linki do materiałów dostępnych </w:t>
        <w:br/>
        <w:t>w internecie)</w:t>
      </w:r>
    </w:p>
    <w:p>
      <w:pPr>
        <w:pStyle w:val="ListParagraph"/>
        <w:spacing w:lineRule="auto" w:line="360" w:before="0" w:after="0"/>
        <w:ind w:left="567"/>
        <w:contextualSpacing/>
        <w:jc w:val="both"/>
        <w:rPr>
          <w:rFonts w:ascii="Times New Roman" w:hAnsi="Times New Roman" w:cs="Times New Roman"/>
          <w:sz w:val="24"/>
          <w:szCs w:val="24"/>
        </w:rPr>
      </w:pPr>
      <w:r>
        <w:rPr>
          <w:rFonts w:cs="Times New Roman" w:ascii="Times New Roman" w:hAnsi="Times New Roman"/>
          <w:sz w:val="24"/>
          <w:szCs w:val="24"/>
        </w:rPr>
        <w:t xml:space="preserve">d. Materiały prasowe, ogłoszenia, plakaty dot. Projektu (można dołączyć linki </w:t>
        <w:br/>
        <w:t>do materiałów dostępnych w internecie)</w:t>
      </w:r>
    </w:p>
    <w:p>
      <w:pPr>
        <w:pStyle w:val="ListParagraph"/>
        <w:spacing w:lineRule="auto" w:line="360" w:before="0" w:after="0"/>
        <w:ind w:left="567"/>
        <w:contextualSpacing/>
        <w:jc w:val="both"/>
        <w:rPr>
          <w:rFonts w:ascii="Times New Roman" w:hAnsi="Times New Roman" w:cs="Times New Roman"/>
          <w:sz w:val="24"/>
          <w:szCs w:val="24"/>
        </w:rPr>
      </w:pPr>
      <w:r>
        <w:rPr>
          <w:rFonts w:cs="Times New Roman" w:ascii="Times New Roman" w:hAnsi="Times New Roman"/>
          <w:sz w:val="24"/>
          <w:szCs w:val="24"/>
        </w:rPr>
        <w:t xml:space="preserve">e. Zgoda/zgody na rozpowszechnianie wizerunku - na wzorze stanowiącym załącznik </w:t>
        <w:br/>
        <w:t>nr 1 do sprawozdania - jeżeli dotyczy (załącznik nr 1 do sprawozdania)</w:t>
        <w:br/>
        <w:t xml:space="preserve">f. Oświadczenie/oświadczenia przekazania praw autorskich - na wzorze stanowiącym załącznik nr 2 do sprawozdania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t>XII. Monitoring i ocena realizacji projektów</w:t>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1"/>
          <w:numId w:val="8"/>
        </w:numPr>
        <w:spacing w:lineRule="auto" w:line="360" w:before="0" w:after="0"/>
        <w:ind w:hanging="360" w:left="567"/>
        <w:contextualSpacing/>
        <w:jc w:val="both"/>
        <w:rPr>
          <w:rFonts w:ascii="Times New Roman" w:hAnsi="Times New Roman" w:cs="Times New Roman"/>
          <w:sz w:val="24"/>
          <w:szCs w:val="24"/>
        </w:rPr>
      </w:pPr>
      <w:r>
        <w:rPr>
          <w:rFonts w:cs="Times New Roman" w:ascii="Times New Roman" w:hAnsi="Times New Roman"/>
          <w:sz w:val="24"/>
          <w:szCs w:val="24"/>
        </w:rPr>
        <w:t>Operator ocenia prawidłowość wydatkowania grantu w aspekcie:</w:t>
        <w:br/>
        <w:t>a.  finansowym, tj. zgodności ponoszonych wydatków z kosztorysem zawartym we wniosku o udzielenie grantu  oraz poprawności prowadzenia dokumentacji finansowo-księgowej związanej z realizacją projektu;</w:t>
        <w:br/>
        <w:t>b. merytorycznym, tj. zgodności wykonanych działań oraz osiągniętych rezultatów                                  z wnioskiem o udzielenie grantu  oraz poprawności prowadzenia dokumentacji potwierdzającej wykonanie działań i rezultatów.</w:t>
      </w:r>
    </w:p>
    <w:p>
      <w:pPr>
        <w:pStyle w:val="ListParagraph"/>
        <w:numPr>
          <w:ilvl w:val="1"/>
          <w:numId w:val="8"/>
        </w:numPr>
        <w:spacing w:lineRule="auto" w:line="360" w:before="0" w:after="0"/>
        <w:ind w:hanging="283" w:left="567"/>
        <w:contextualSpacing/>
        <w:jc w:val="both"/>
        <w:rPr>
          <w:rFonts w:ascii="Times New Roman" w:hAnsi="Times New Roman" w:cs="Times New Roman"/>
          <w:sz w:val="24"/>
          <w:szCs w:val="24"/>
        </w:rPr>
      </w:pPr>
      <w:r>
        <w:rPr>
          <w:rFonts w:cs="Times New Roman" w:ascii="Times New Roman" w:hAnsi="Times New Roman"/>
          <w:sz w:val="24"/>
          <w:szCs w:val="24"/>
        </w:rPr>
        <w:t>Wykonując obowiązki opisane wyżej, Operator może prowadzić wizyty monitorujące                             w siedzibie realizatora projektu i/lub w miejscu realizacji przedsięwzięcia oraz zdalnie weryfikować dokumenty udostępnione przez Patrona.</w:t>
      </w:r>
    </w:p>
    <w:p>
      <w:pPr>
        <w:pStyle w:val="ListParagraph"/>
        <w:numPr>
          <w:ilvl w:val="1"/>
          <w:numId w:val="8"/>
        </w:numPr>
        <w:spacing w:lineRule="auto" w:line="360" w:before="0" w:after="0"/>
        <w:ind w:hanging="283" w:left="567"/>
        <w:contextualSpacing/>
        <w:jc w:val="both"/>
        <w:rPr>
          <w:rFonts w:ascii="Times New Roman" w:hAnsi="Times New Roman" w:cs="Times New Roman"/>
          <w:sz w:val="24"/>
          <w:szCs w:val="24"/>
        </w:rPr>
      </w:pPr>
      <w:r>
        <w:rPr>
          <w:rFonts w:cs="Times New Roman" w:ascii="Times New Roman" w:hAnsi="Times New Roman"/>
          <w:sz w:val="24"/>
          <w:szCs w:val="24"/>
        </w:rPr>
        <w:t>Na żądanie Operatora zgłoszone drogą pisemną lub drogą elektroniczną, Patron powinien:</w:t>
      </w:r>
    </w:p>
    <w:p>
      <w:pPr>
        <w:pStyle w:val="ListParagraph"/>
        <w:spacing w:lineRule="auto" w:line="360" w:before="0" w:after="0"/>
        <w:ind w:left="567"/>
        <w:contextualSpacing/>
        <w:jc w:val="both"/>
        <w:rPr>
          <w:rFonts w:ascii="Times New Roman" w:hAnsi="Times New Roman" w:cs="Times New Roman"/>
          <w:sz w:val="24"/>
          <w:szCs w:val="24"/>
        </w:rPr>
      </w:pPr>
      <w:r>
        <w:rPr>
          <w:rFonts w:cs="Times New Roman" w:ascii="Times New Roman" w:hAnsi="Times New Roman"/>
          <w:sz w:val="24"/>
          <w:szCs w:val="24"/>
        </w:rPr>
        <w:t>a. Niezwłocznie udzielić wszelkich informacji na temat realizowanego projektu;</w:t>
        <w:br/>
        <w:t>b. Umożliwić przeprowadzenie wizyty monitorującej w celu omówienia stanu realizacji projektu i zaprezentowania w miarę możliwości rezultatów osiągniętych na dany moment. Wizytę monitorującą przeprowadza się w terminie uzgodnionym przez strony.</w:t>
      </w:r>
    </w:p>
    <w:p>
      <w:pPr>
        <w:pStyle w:val="ListParagraph"/>
        <w:numPr>
          <w:ilvl w:val="1"/>
          <w:numId w:val="8"/>
        </w:numPr>
        <w:spacing w:lineRule="auto" w:line="360" w:before="0" w:after="0"/>
        <w:ind w:hanging="360" w:left="426"/>
        <w:contextualSpacing/>
        <w:jc w:val="both"/>
        <w:rPr>
          <w:rFonts w:ascii="Times New Roman" w:hAnsi="Times New Roman" w:cs="Times New Roman"/>
          <w:sz w:val="24"/>
          <w:szCs w:val="24"/>
        </w:rPr>
      </w:pPr>
      <w:r>
        <w:rPr>
          <w:rFonts w:cs="Times New Roman" w:ascii="Times New Roman" w:hAnsi="Times New Roman"/>
          <w:sz w:val="24"/>
          <w:szCs w:val="24"/>
        </w:rPr>
        <w:t>W przypadku znacznej liczby błędów w składanych dokumentach i niestosowania się do zaleceń Operatora, koszt wynagrodzenia personelu zatrudnionego przez Patrona do obsługi projektu może zostać uznany w całości lub części za wydatek niekwalifikowalny.</w:t>
      </w:r>
    </w:p>
    <w:p>
      <w:pPr>
        <w:pStyle w:val="ListParagraph"/>
        <w:numPr>
          <w:ilvl w:val="1"/>
          <w:numId w:val="8"/>
        </w:numPr>
        <w:spacing w:lineRule="auto" w:line="360" w:before="0" w:after="0"/>
        <w:ind w:hanging="360" w:left="426"/>
        <w:contextualSpacing/>
        <w:jc w:val="both"/>
        <w:rPr>
          <w:rFonts w:ascii="Times New Roman" w:hAnsi="Times New Roman" w:cs="Times New Roman"/>
          <w:sz w:val="24"/>
          <w:szCs w:val="24"/>
        </w:rPr>
      </w:pPr>
      <w:r>
        <w:rPr>
          <w:rFonts w:cs="Times New Roman" w:ascii="Times New Roman" w:hAnsi="Times New Roman"/>
          <w:sz w:val="24"/>
          <w:szCs w:val="24"/>
        </w:rPr>
        <w:t xml:space="preserve">W przypadku naruszenia postanowień umowy o powierzenie grantu lub utrudniania przez Patrona przeprowadzenia monitoringu działań w ramach projektu lub kontroli dokumentów, Operator może uznać całość lub część grantu za wykorzystaną niezgodnie </w:t>
        <w:br/>
        <w:t>z przeznaczeniem i w konsekwencji wezwać Patrona do zwrotu środków.</w:t>
      </w:r>
    </w:p>
    <w:p>
      <w:pPr>
        <w:pStyle w:val="ListParagraph"/>
        <w:numPr>
          <w:ilvl w:val="1"/>
          <w:numId w:val="8"/>
        </w:numPr>
        <w:spacing w:lineRule="auto" w:line="360" w:before="0" w:after="0"/>
        <w:ind w:hanging="360" w:left="426"/>
        <w:contextualSpacing/>
        <w:jc w:val="both"/>
        <w:rPr>
          <w:rFonts w:ascii="Times New Roman" w:hAnsi="Times New Roman" w:cs="Times New Roman"/>
          <w:sz w:val="24"/>
          <w:szCs w:val="24"/>
        </w:rPr>
      </w:pPr>
      <w:r>
        <w:rPr>
          <w:rFonts w:cs="Times New Roman" w:ascii="Times New Roman" w:hAnsi="Times New Roman"/>
          <w:sz w:val="24"/>
          <w:szCs w:val="24"/>
        </w:rPr>
        <w:t>Niezależnie od obowiązków opisanych wyżej, każdy realizator projektu jest zobowiązany do poddania się kontroli przez Instytucję Zarządzającą Rządowym Programem Fundusz Młodzieżowy na lata 2022-2033. Kontrola taka może być przeprowadzona w toku realizacji projektu oraz po jego zakończeniu przez okres 5 lat, licząc od początku roku następującego po roku, w którym zakończy się realizacja zadania publicznego AkTYwny wolontariat na start (a więc do końca 2031 r.).</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t>XIII. Postanowienia końcowe</w:t>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4"/>
        </w:numPr>
        <w:spacing w:lineRule="auto" w:line="360" w:before="0" w:after="0"/>
        <w:ind w:hanging="426" w:left="426"/>
        <w:contextualSpacing/>
        <w:jc w:val="both"/>
        <w:rPr>
          <w:rFonts w:ascii="Times New Roman" w:hAnsi="Times New Roman" w:cs="Times New Roman"/>
          <w:sz w:val="24"/>
          <w:szCs w:val="24"/>
        </w:rPr>
      </w:pPr>
      <w:r>
        <w:rPr>
          <w:rFonts w:cs="Times New Roman" w:ascii="Times New Roman" w:hAnsi="Times New Roman"/>
          <w:sz w:val="24"/>
          <w:szCs w:val="24"/>
        </w:rPr>
        <w:t>Nadrzędnymi dokumentami wobec niniejszego Regulaminu są ustawa z dnia 24 kwietnia 2003 r. o działalności pożytku publicznego i o wolontariacie oraz Regulamin konkursu Rządowego Programu Fundusz Młodzieżowy na lata 2022-2033 – edycja 2024.</w:t>
      </w:r>
    </w:p>
    <w:p>
      <w:pPr>
        <w:pStyle w:val="ListParagraph"/>
        <w:numPr>
          <w:ilvl w:val="0"/>
          <w:numId w:val="4"/>
        </w:numPr>
        <w:spacing w:lineRule="auto" w:line="360" w:before="0" w:after="0"/>
        <w:ind w:hanging="426" w:left="426"/>
        <w:contextualSpacing/>
        <w:jc w:val="both"/>
        <w:rPr>
          <w:rFonts w:ascii="Times New Roman" w:hAnsi="Times New Roman" w:cs="Times New Roman"/>
          <w:sz w:val="24"/>
          <w:szCs w:val="24"/>
        </w:rPr>
      </w:pPr>
      <w:r>
        <w:rPr>
          <w:rFonts w:cs="Times New Roman" w:ascii="Times New Roman" w:hAnsi="Times New Roman"/>
          <w:sz w:val="24"/>
          <w:szCs w:val="24"/>
        </w:rPr>
        <w:t>Operator zastrzega sobie prawo do zmian w Regulaminie lub wydania nowego Regulaminu.</w:t>
      </w:r>
    </w:p>
    <w:p>
      <w:pPr>
        <w:pStyle w:val="ListParagraph"/>
        <w:numPr>
          <w:ilvl w:val="0"/>
          <w:numId w:val="4"/>
        </w:numPr>
        <w:spacing w:lineRule="auto" w:line="360" w:before="0" w:after="0"/>
        <w:ind w:hanging="426" w:left="426"/>
        <w:contextualSpacing/>
        <w:jc w:val="both"/>
        <w:rPr>
          <w:rFonts w:ascii="Times New Roman" w:hAnsi="Times New Roman" w:cs="Times New Roman"/>
          <w:sz w:val="24"/>
          <w:szCs w:val="24"/>
        </w:rPr>
      </w:pPr>
      <w:r>
        <w:rPr>
          <w:rFonts w:cs="Times New Roman" w:ascii="Times New Roman" w:hAnsi="Times New Roman"/>
          <w:sz w:val="24"/>
          <w:szCs w:val="24"/>
        </w:rPr>
        <w:t xml:space="preserve">Wszystkie załączniki do Regulaminu stanowią jego integralną część. </w:t>
      </w:r>
    </w:p>
    <w:p>
      <w:pPr>
        <w:pStyle w:val="ListParagraph"/>
        <w:numPr>
          <w:ilvl w:val="0"/>
          <w:numId w:val="4"/>
        </w:numPr>
        <w:spacing w:lineRule="auto" w:line="360" w:before="0" w:after="0"/>
        <w:ind w:hanging="426" w:left="426"/>
        <w:contextualSpacing/>
        <w:jc w:val="both"/>
        <w:rPr>
          <w:rFonts w:ascii="Times New Roman" w:hAnsi="Times New Roman" w:cs="Times New Roman"/>
          <w:sz w:val="24"/>
          <w:szCs w:val="24"/>
        </w:rPr>
      </w:pPr>
      <w:r>
        <w:rPr>
          <w:rFonts w:cs="Times New Roman" w:ascii="Times New Roman" w:hAnsi="Times New Roman"/>
          <w:sz w:val="24"/>
          <w:szCs w:val="24"/>
        </w:rPr>
        <w:t>Sprawy nieuregulowane niniejszym Regulaminem rozstrzygane są przez Operatora.</w:t>
      </w:r>
    </w:p>
    <w:p>
      <w:pPr>
        <w:pStyle w:val="ListParagraph"/>
        <w:numPr>
          <w:ilvl w:val="0"/>
          <w:numId w:val="4"/>
        </w:numPr>
        <w:spacing w:lineRule="auto" w:line="360" w:before="0" w:after="0"/>
        <w:ind w:hanging="426" w:left="426"/>
        <w:contextualSpacing/>
        <w:jc w:val="both"/>
        <w:rPr>
          <w:rFonts w:ascii="Times New Roman" w:hAnsi="Times New Roman" w:cs="Times New Roman"/>
          <w:sz w:val="24"/>
          <w:szCs w:val="24"/>
        </w:rPr>
      </w:pPr>
      <w:r>
        <w:rPr>
          <w:rFonts w:cs="Times New Roman" w:ascii="Times New Roman" w:hAnsi="Times New Roman"/>
          <w:sz w:val="24"/>
          <w:szCs w:val="24"/>
        </w:rPr>
        <w:t>Ostateczna interpretacja Regulaminu należy do Operatora.</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t>IV.  OCHRONA DANYCH OSOBOWYCH</w:t>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14"/>
        </w:numPr>
        <w:spacing w:lineRule="auto" w:line="360" w:before="0" w:after="0"/>
        <w:ind w:hanging="567" w:left="567"/>
        <w:contextualSpacing/>
        <w:jc w:val="both"/>
        <w:rPr>
          <w:rFonts w:ascii="Times New Roman" w:hAnsi="Times New Roman" w:cs="Times New Roman"/>
          <w:sz w:val="24"/>
          <w:szCs w:val="24"/>
        </w:rPr>
      </w:pPr>
      <w:r>
        <w:rPr>
          <w:rFonts w:cs="Times New Roman" w:ascii="Times New Roman" w:hAnsi="Times New Roman"/>
          <w:sz w:val="24"/>
          <w:szCs w:val="24"/>
        </w:rPr>
        <w:t>Administratorem danych osobowych jest Organizator Konkursu Caritas Diecezji Sosnowieckiej.</w:t>
      </w:r>
    </w:p>
    <w:p>
      <w:pPr>
        <w:pStyle w:val="ListParagraph"/>
        <w:numPr>
          <w:ilvl w:val="0"/>
          <w:numId w:val="14"/>
        </w:numPr>
        <w:spacing w:lineRule="auto" w:line="360" w:before="0" w:after="0"/>
        <w:ind w:hanging="567" w:left="567"/>
        <w:contextualSpacing/>
        <w:jc w:val="both"/>
        <w:rPr>
          <w:rFonts w:ascii="Times New Roman" w:hAnsi="Times New Roman" w:cs="Times New Roman"/>
          <w:sz w:val="24"/>
          <w:szCs w:val="24"/>
        </w:rPr>
      </w:pPr>
      <w:r>
        <w:rPr>
          <w:rFonts w:cs="Times New Roman" w:ascii="Times New Roman" w:hAnsi="Times New Roman"/>
          <w:sz w:val="24"/>
          <w:szCs w:val="24"/>
        </w:rPr>
        <w:t xml:space="preserve">Przystąpienie do Konkursu jest równoznaczne z wyrażeniem zgody na gromadzenie </w:t>
        <w:br/>
        <w:t xml:space="preserve">i przetwarzanie danych w celach związanych z przeprowadzeniem i realizacją Konkursu, zgodnie z ustawą z dn. 10 maja 2018 r. o ochronie danych osobowych (Dz. U. z 2018 r. poz. 1000 z późn. zm.) oraz z rozporządzeniem Parlamentu Europejskiego i Rady (UE) 2016/679 z dnia 27 kwietnia 2016 r. w sprawie ochrony osób fizycznych w związku </w:t>
        <w:br/>
        <w:t>z przetwarzaniem danych osobowych i w sprawie swobodnego przepływu takich danych oraz uchylenia dyrektywy 95/46/WE – RODO. Jednocześnie przystąpienie do Konkursu jest jednoznaczne z oświadczeniem o byciu poinformowanym przez wszystkich uczestników nt. celu zbierania danych osobowych oraz o przysługującym prawie dostępu do swoich danych oraz otrzymania ich kopii, możliwości ich sprostowania, prawa do usunięcia danych, ograniczenia przetwarzania danych, wniesienia sprzeciwu wobec ich przetwarzania, a także prawa do przenoszenia danych i wniesienia skargi do organu nadzorczego, jak również, że podanie tych danych było dobrowolne.</w:t>
      </w:r>
    </w:p>
    <w:p>
      <w:pPr>
        <w:pStyle w:val="ListParagraph"/>
        <w:numPr>
          <w:ilvl w:val="0"/>
          <w:numId w:val="14"/>
        </w:numPr>
        <w:spacing w:lineRule="auto" w:line="360" w:before="0" w:after="0"/>
        <w:ind w:hanging="567" w:left="567"/>
        <w:contextualSpacing/>
        <w:jc w:val="both"/>
        <w:rPr>
          <w:rFonts w:ascii="Times New Roman" w:hAnsi="Times New Roman" w:cs="Times New Roman"/>
          <w:sz w:val="24"/>
          <w:szCs w:val="24"/>
        </w:rPr>
      </w:pPr>
      <w:r>
        <w:rPr>
          <w:rFonts w:cs="Times New Roman" w:ascii="Times New Roman" w:hAnsi="Times New Roman"/>
          <w:sz w:val="24"/>
          <w:szCs w:val="24"/>
        </w:rPr>
        <w:t xml:space="preserve">Zgromadzone przez Organizatora dane osobowe oraz informacje zawarte w formularzach zgłoszeniowych będą gromadzone i przetwarzane do celów realizacji, promocji </w:t>
        <w:br/>
        <w:t>i sprawozdawczości „Rządowego programu funduszu młodzieżowego – Konkurs fundusz młodzieżowy 2024 -priorytet 1” oraz wykorzystane w materiałach promocyjnych.</w:t>
      </w:r>
    </w:p>
    <w:p>
      <w:pPr>
        <w:pStyle w:val="ListParagraph"/>
        <w:numPr>
          <w:ilvl w:val="0"/>
          <w:numId w:val="14"/>
        </w:numPr>
        <w:spacing w:lineRule="auto" w:line="360" w:before="0" w:after="0"/>
        <w:ind w:hanging="567" w:left="567"/>
        <w:contextualSpacing/>
        <w:jc w:val="both"/>
        <w:rPr>
          <w:rFonts w:ascii="Times New Roman" w:hAnsi="Times New Roman" w:cs="Times New Roman"/>
          <w:sz w:val="24"/>
          <w:szCs w:val="24"/>
        </w:rPr>
      </w:pPr>
      <w:r>
        <w:rPr>
          <w:rFonts w:cs="Times New Roman" w:ascii="Times New Roman" w:hAnsi="Times New Roman"/>
          <w:sz w:val="24"/>
          <w:szCs w:val="24"/>
        </w:rPr>
        <w:t>Osoby uczestniczące w realizacji Grantu akceptują, iż wszystkie w jej ramach podjęte</w:t>
        <w:br/>
        <w:t xml:space="preserve">działania oraz związane z wykonawcami dane osobowe mogą zostać upubliczniane </w:t>
        <w:br/>
        <w:t>w szczególności na stronie internetowej Organizatora oraz w innych formach przekazu</w:t>
        <w:br/>
        <w:t>publicznego realizowanego przez Organizatora.</w:t>
      </w:r>
    </w:p>
    <w:p>
      <w:pPr>
        <w:pStyle w:val="ListParagraph"/>
        <w:numPr>
          <w:ilvl w:val="0"/>
          <w:numId w:val="14"/>
        </w:numPr>
        <w:spacing w:lineRule="auto" w:line="360" w:before="0" w:after="0"/>
        <w:ind w:hanging="567" w:left="567"/>
        <w:contextualSpacing/>
        <w:jc w:val="both"/>
        <w:rPr>
          <w:rFonts w:ascii="Times New Roman" w:hAnsi="Times New Roman" w:cs="Times New Roman"/>
          <w:sz w:val="24"/>
          <w:szCs w:val="24"/>
        </w:rPr>
      </w:pPr>
      <w:r>
        <w:rPr>
          <w:rFonts w:cs="Times New Roman" w:ascii="Times New Roman" w:hAnsi="Times New Roman"/>
          <w:sz w:val="24"/>
          <w:szCs w:val="24"/>
        </w:rPr>
        <w:t>Nadesłanie zgłoszenia do Konkursu jest równoznaczne z oświadczeniem, że grupa wolontariuszy posiada prawa autorskie do nadesłanego pomysłu.</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t>Załączniki do Regulaminu:</w:t>
      </w:r>
    </w:p>
    <w:p>
      <w:pPr>
        <w:pStyle w:val="ListParagraph"/>
        <w:numPr>
          <w:ilvl w:val="0"/>
          <w:numId w:val="15"/>
        </w:numPr>
        <w:spacing w:lineRule="auto" w:line="360" w:before="0" w:after="0"/>
        <w:ind w:hanging="567" w:left="567"/>
        <w:contextualSpacing/>
        <w:jc w:val="both"/>
        <w:rPr>
          <w:rFonts w:ascii="Times New Roman" w:hAnsi="Times New Roman" w:cs="Times New Roman"/>
          <w:sz w:val="24"/>
          <w:szCs w:val="24"/>
        </w:rPr>
      </w:pPr>
      <w:r>
        <w:rPr>
          <w:rFonts w:cs="Times New Roman" w:ascii="Times New Roman" w:hAnsi="Times New Roman"/>
          <w:sz w:val="24"/>
          <w:szCs w:val="24"/>
        </w:rPr>
        <w:t>Formularz (wzór) wniosku o przyznanie grantu.</w:t>
      </w:r>
    </w:p>
    <w:p>
      <w:pPr>
        <w:pStyle w:val="ListParagraph"/>
        <w:numPr>
          <w:ilvl w:val="0"/>
          <w:numId w:val="15"/>
        </w:numPr>
        <w:spacing w:lineRule="auto" w:line="360" w:before="0" w:after="0"/>
        <w:ind w:hanging="567" w:left="567"/>
        <w:contextualSpacing/>
        <w:jc w:val="both"/>
        <w:rPr>
          <w:rFonts w:ascii="Times New Roman" w:hAnsi="Times New Roman" w:cs="Times New Roman"/>
          <w:sz w:val="24"/>
          <w:szCs w:val="24"/>
        </w:rPr>
      </w:pPr>
      <w:r>
        <w:rPr>
          <w:rFonts w:cs="Times New Roman" w:ascii="Times New Roman" w:hAnsi="Times New Roman"/>
          <w:sz w:val="24"/>
          <w:szCs w:val="24"/>
        </w:rPr>
        <w:t>Porozumienie o współpracy Patrona z młodzieżową grupą młodzieżową.</w:t>
      </w:r>
    </w:p>
    <w:p>
      <w:pPr>
        <w:pStyle w:val="ListParagraph"/>
        <w:numPr>
          <w:ilvl w:val="0"/>
          <w:numId w:val="15"/>
        </w:numPr>
        <w:spacing w:lineRule="auto" w:line="360" w:before="0" w:after="0"/>
        <w:ind w:hanging="567" w:left="567"/>
        <w:contextualSpacing/>
        <w:jc w:val="both"/>
        <w:rPr>
          <w:rFonts w:ascii="Times New Roman" w:hAnsi="Times New Roman" w:cs="Times New Roman"/>
          <w:sz w:val="24"/>
          <w:szCs w:val="24"/>
        </w:rPr>
      </w:pPr>
      <w:r>
        <w:rPr>
          <w:rFonts w:cs="Times New Roman" w:ascii="Times New Roman" w:hAnsi="Times New Roman"/>
          <w:sz w:val="24"/>
          <w:szCs w:val="24"/>
        </w:rPr>
        <w:t>Wzór sprawozdania z realizacji projektu.</w:t>
      </w:r>
    </w:p>
    <w:p>
      <w:pPr>
        <w:pStyle w:val="ListParagraph"/>
        <w:numPr>
          <w:ilvl w:val="0"/>
          <w:numId w:val="15"/>
        </w:numPr>
        <w:spacing w:lineRule="auto" w:line="360" w:before="0" w:after="0"/>
        <w:ind w:hanging="567" w:left="567"/>
        <w:contextualSpacing/>
        <w:jc w:val="both"/>
        <w:rPr>
          <w:rFonts w:ascii="Times New Roman" w:hAnsi="Times New Roman" w:cs="Times New Roman"/>
          <w:sz w:val="24"/>
          <w:szCs w:val="24"/>
        </w:rPr>
      </w:pPr>
      <w:r>
        <w:rPr>
          <w:rFonts w:cs="Times New Roman" w:ascii="Times New Roman" w:hAnsi="Times New Roman"/>
          <w:sz w:val="24"/>
          <w:szCs w:val="24"/>
        </w:rPr>
        <w:t>Deklaracja udziału w projekcie osoba niepełnoletnia.</w:t>
      </w:r>
    </w:p>
    <w:p>
      <w:pPr>
        <w:pStyle w:val="ListParagraph"/>
        <w:numPr>
          <w:ilvl w:val="0"/>
          <w:numId w:val="15"/>
        </w:numPr>
        <w:spacing w:lineRule="auto" w:line="360" w:before="0" w:after="0"/>
        <w:ind w:hanging="567" w:left="567"/>
        <w:contextualSpacing/>
        <w:jc w:val="both"/>
        <w:rPr>
          <w:rFonts w:ascii="Times New Roman" w:hAnsi="Times New Roman" w:cs="Times New Roman"/>
          <w:sz w:val="24"/>
          <w:szCs w:val="24"/>
        </w:rPr>
      </w:pPr>
      <w:r>
        <w:rPr>
          <w:rFonts w:cs="Times New Roman" w:ascii="Times New Roman" w:hAnsi="Times New Roman"/>
          <w:sz w:val="24"/>
          <w:szCs w:val="24"/>
        </w:rPr>
        <w:t>Deklaracja udziału w projekcie osoba pełnoletnia.</w:t>
      </w:r>
    </w:p>
    <w:p>
      <w:pPr>
        <w:pStyle w:val="ListParagraph"/>
        <w:numPr>
          <w:ilvl w:val="0"/>
          <w:numId w:val="15"/>
        </w:numPr>
        <w:spacing w:lineRule="auto" w:line="360" w:before="0" w:after="0"/>
        <w:ind w:hanging="567" w:left="567"/>
        <w:contextualSpacing/>
        <w:jc w:val="both"/>
        <w:rPr>
          <w:rFonts w:ascii="Times New Roman" w:hAnsi="Times New Roman" w:cs="Times New Roman"/>
          <w:sz w:val="24"/>
          <w:szCs w:val="24"/>
        </w:rPr>
      </w:pPr>
      <w:r>
        <w:rPr>
          <w:rFonts w:cs="Times New Roman" w:ascii="Times New Roman" w:hAnsi="Times New Roman"/>
          <w:sz w:val="24"/>
          <w:szCs w:val="24"/>
        </w:rPr>
        <w:t>Karta oceny wniosku o przyznanie grantu.</w:t>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417" w:right="1417" w:gutter="0" w:header="708"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Aptos Display">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7663784"/>
    </w:sdtPr>
    <w:sdtContent>
      <w:p>
        <w:pPr>
          <w:pStyle w:val="Footer"/>
          <w:jc w:val="center"/>
          <w:rPr/>
        </w:pPr>
        <w:r>
          <w:rPr/>
          <w:fldChar w:fldCharType="begin"/>
        </w:r>
        <w:r>
          <w:rPr/>
          <w:instrText xml:space="preserve"> PAGE </w:instrText>
        </w:r>
        <w:r>
          <w:rPr/>
          <w:fldChar w:fldCharType="separate"/>
        </w:r>
        <w:r>
          <w:rPr/>
          <w:t>11</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7663784"/>
    </w:sdtPr>
    <w:sdtContent>
      <w:p>
        <w:pPr>
          <w:pStyle w:val="Footer"/>
          <w:jc w:val="center"/>
          <w:rPr/>
        </w:pPr>
        <w:r>
          <w:rPr/>
          <w:fldChar w:fldCharType="begin"/>
        </w:r>
        <w:r>
          <w:rPr/>
          <w:instrText xml:space="preserve"> PAGE </w:instrText>
        </w:r>
        <w:r>
          <w:rPr/>
          <w:fldChar w:fldCharType="separate"/>
        </w:r>
        <w:r>
          <w:rPr/>
          <w:t>11</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2">
          <wp:simplePos x="0" y="0"/>
          <wp:positionH relativeFrom="margin">
            <wp:posOffset>-777240</wp:posOffset>
          </wp:positionH>
          <wp:positionV relativeFrom="paragraph">
            <wp:posOffset>-701675</wp:posOffset>
          </wp:positionV>
          <wp:extent cx="6256020" cy="1499870"/>
          <wp:effectExtent l="0" t="0" r="0" b="0"/>
          <wp:wrapNone/>
          <wp:docPr id="1" name="Obraz 1" descr="Obraz zawierający tekst, zrzut ekranu, wizytów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wizytówka, Czcionka&#10;&#10;Opis wygenerowany automatycznie"/>
                  <pic:cNvPicPr>
                    <a:picLocks noChangeAspect="1" noChangeArrowheads="1"/>
                  </pic:cNvPicPr>
                </pic:nvPicPr>
                <pic:blipFill>
                  <a:blip r:embed="rId1"/>
                  <a:stretch>
                    <a:fillRect/>
                  </a:stretch>
                </pic:blipFill>
                <pic:spPr bwMode="auto">
                  <a:xfrm>
                    <a:off x="0" y="0"/>
                    <a:ext cx="6256020" cy="1499870"/>
                  </a:xfrm>
                  <a:prstGeom prst="rect">
                    <a:avLst/>
                  </a:prstGeom>
                  <a:noFill/>
                </pic:spPr>
              </pic:pic>
            </a:graphicData>
          </a:graphic>
        </wp:anchor>
      </w:drawing>
      <w:drawing>
        <wp:anchor behindDoc="1" distT="0" distB="0" distL="0" distR="0" simplePos="0" locked="0" layoutInCell="0" allowOverlap="1" relativeHeight="23">
          <wp:simplePos x="0" y="0"/>
          <wp:positionH relativeFrom="rightMargin">
            <wp:posOffset>0</wp:posOffset>
          </wp:positionH>
          <wp:positionV relativeFrom="paragraph">
            <wp:posOffset>-304800</wp:posOffset>
          </wp:positionV>
          <wp:extent cx="419100" cy="558165"/>
          <wp:effectExtent l="0" t="0" r="0" b="0"/>
          <wp:wrapNone/>
          <wp:docPr id="2" name="Obraz 585292960"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85292960" descr="Obraz zawierający tekst, Czcionka, symbol, logo&#10;&#10;Opis wygenerowany automatycznie"/>
                  <pic:cNvPicPr>
                    <a:picLocks noChangeAspect="1" noChangeArrowheads="1"/>
                  </pic:cNvPicPr>
                </pic:nvPicPr>
                <pic:blipFill>
                  <a:blip r:embed="rId2"/>
                  <a:stretch>
                    <a:fillRect/>
                  </a:stretch>
                </pic:blipFill>
                <pic:spPr bwMode="auto">
                  <a:xfrm>
                    <a:off x="0" y="0"/>
                    <a:ext cx="419100" cy="558165"/>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2">
          <wp:simplePos x="0" y="0"/>
          <wp:positionH relativeFrom="margin">
            <wp:posOffset>-777240</wp:posOffset>
          </wp:positionH>
          <wp:positionV relativeFrom="paragraph">
            <wp:posOffset>-701675</wp:posOffset>
          </wp:positionV>
          <wp:extent cx="6256020" cy="1499870"/>
          <wp:effectExtent l="0" t="0" r="0" b="0"/>
          <wp:wrapNone/>
          <wp:docPr id="3" name="Obraz 1" descr="Obraz zawierający tekst, zrzut ekranu, wizytów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Obraz zawierający tekst, zrzut ekranu, wizytówka, Czcionka&#10;&#10;Opis wygenerowany automatycznie"/>
                  <pic:cNvPicPr>
                    <a:picLocks noChangeAspect="1" noChangeArrowheads="1"/>
                  </pic:cNvPicPr>
                </pic:nvPicPr>
                <pic:blipFill>
                  <a:blip r:embed="rId1"/>
                  <a:stretch>
                    <a:fillRect/>
                  </a:stretch>
                </pic:blipFill>
                <pic:spPr bwMode="auto">
                  <a:xfrm>
                    <a:off x="0" y="0"/>
                    <a:ext cx="6256020" cy="1499870"/>
                  </a:xfrm>
                  <a:prstGeom prst="rect">
                    <a:avLst/>
                  </a:prstGeom>
                  <a:noFill/>
                </pic:spPr>
              </pic:pic>
            </a:graphicData>
          </a:graphic>
        </wp:anchor>
      </w:drawing>
      <w:drawing>
        <wp:anchor behindDoc="1" distT="0" distB="0" distL="0" distR="0" simplePos="0" locked="0" layoutInCell="0" allowOverlap="1" relativeHeight="23">
          <wp:simplePos x="0" y="0"/>
          <wp:positionH relativeFrom="rightMargin">
            <wp:posOffset>0</wp:posOffset>
          </wp:positionH>
          <wp:positionV relativeFrom="paragraph">
            <wp:posOffset>-304800</wp:posOffset>
          </wp:positionV>
          <wp:extent cx="419100" cy="558165"/>
          <wp:effectExtent l="0" t="0" r="0" b="0"/>
          <wp:wrapNone/>
          <wp:docPr id="4" name="Obraz 585292960"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585292960" descr="Obraz zawierający tekst, Czcionka, symbol, logo&#10;&#10;Opis wygenerowany automatycznie"/>
                  <pic:cNvPicPr>
                    <a:picLocks noChangeAspect="1" noChangeArrowheads="1"/>
                  </pic:cNvPicPr>
                </pic:nvPicPr>
                <pic:blipFill>
                  <a:blip r:embed="rId2"/>
                  <a:stretch>
                    <a:fillRect/>
                  </a:stretch>
                </pic:blipFill>
                <pic:spPr bwMode="auto">
                  <a:xfrm>
                    <a:off x="0" y="0"/>
                    <a:ext cx="419100" cy="558165"/>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b w:val="false"/>
      </w:rPr>
    </w:lvl>
    <w:lvl w:ilvl="1">
      <w:start w:val="1"/>
      <w:isLgl/>
      <w:numFmt w:val="decimal"/>
      <w:lvlText w:val="%1.%2"/>
      <w:lvlJc w:val="left"/>
      <w:pPr>
        <w:tabs>
          <w:tab w:val="num" w:pos="0"/>
        </w:tabs>
        <w:ind w:left="720" w:hanging="36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rFonts w:ascii="Times New Roman" w:hAnsi="Times New Roman" w:eastAsia="Aptos" w:cs="Times New Roman"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1140" w:hanging="360"/>
      </w:pPr>
      <w:rPr/>
    </w:lvl>
    <w:lvl w:ilvl="1">
      <w:start w:val="1"/>
      <w:numFmt w:val="lowerLetter"/>
      <w:lvlText w:val="%2."/>
      <w:lvlJc w:val="left"/>
      <w:pPr>
        <w:tabs>
          <w:tab w:val="num" w:pos="0"/>
        </w:tabs>
        <w:ind w:left="1860" w:hanging="360"/>
      </w:pPr>
      <w:rPr/>
    </w:lvl>
    <w:lvl w:ilvl="2">
      <w:start w:val="1"/>
      <w:numFmt w:val="lowerRoman"/>
      <w:lvlText w:val="%3."/>
      <w:lvlJc w:val="right"/>
      <w:pPr>
        <w:tabs>
          <w:tab w:val="num" w:pos="0"/>
        </w:tabs>
        <w:ind w:left="2580" w:hanging="180"/>
      </w:pPr>
      <w:rPr/>
    </w:lvl>
    <w:lvl w:ilvl="3">
      <w:start w:val="1"/>
      <w:numFmt w:val="decimal"/>
      <w:lvlText w:val="%4."/>
      <w:lvlJc w:val="left"/>
      <w:pPr>
        <w:tabs>
          <w:tab w:val="num" w:pos="0"/>
        </w:tabs>
        <w:ind w:left="3300" w:hanging="360"/>
      </w:pPr>
      <w:rPr/>
    </w:lvl>
    <w:lvl w:ilvl="4">
      <w:start w:val="1"/>
      <w:numFmt w:val="lowerLetter"/>
      <w:lvlText w:val="%5."/>
      <w:lvlJc w:val="left"/>
      <w:pPr>
        <w:tabs>
          <w:tab w:val="num" w:pos="0"/>
        </w:tabs>
        <w:ind w:left="4020" w:hanging="360"/>
      </w:pPr>
      <w:rPr/>
    </w:lvl>
    <w:lvl w:ilvl="5">
      <w:start w:val="1"/>
      <w:numFmt w:val="lowerRoman"/>
      <w:lvlText w:val="%6."/>
      <w:lvlJc w:val="right"/>
      <w:pPr>
        <w:tabs>
          <w:tab w:val="num" w:pos="0"/>
        </w:tabs>
        <w:ind w:left="4740" w:hanging="180"/>
      </w:pPr>
      <w:rPr/>
    </w:lvl>
    <w:lvl w:ilvl="6">
      <w:start w:val="1"/>
      <w:numFmt w:val="decimal"/>
      <w:lvlText w:val="%7."/>
      <w:lvlJc w:val="left"/>
      <w:pPr>
        <w:tabs>
          <w:tab w:val="num" w:pos="0"/>
        </w:tabs>
        <w:ind w:left="5460" w:hanging="360"/>
      </w:pPr>
      <w:rPr/>
    </w:lvl>
    <w:lvl w:ilvl="7">
      <w:start w:val="1"/>
      <w:numFmt w:val="lowerLetter"/>
      <w:lvlText w:val="%8."/>
      <w:lvlJc w:val="left"/>
      <w:pPr>
        <w:tabs>
          <w:tab w:val="num" w:pos="0"/>
        </w:tabs>
        <w:ind w:left="6180" w:hanging="360"/>
      </w:pPr>
      <w:rPr/>
    </w:lvl>
    <w:lvl w:ilvl="8">
      <w:start w:val="1"/>
      <w:numFmt w:val="lowerRoman"/>
      <w:lvlText w:val="%9."/>
      <w:lvlJc w:val="right"/>
      <w:pPr>
        <w:tabs>
          <w:tab w:val="num" w:pos="0"/>
        </w:tabs>
        <w:ind w:left="6900" w:hanging="180"/>
      </w:pPr>
      <w:rPr/>
    </w:lvl>
  </w:abstractNum>
  <w:abstractNum w:abstractNumId="8">
    <w:lvl w:ilvl="0">
      <w:start w:val="1"/>
      <w:numFmt w:val="lowerLetter"/>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0"/>
      <w:sz w:val="22"/>
      <w:szCs w:val="22"/>
      <w:lang w:val="pl-PL" w:eastAsia="en-US" w:bidi="ar-SA"/>
    </w:rPr>
  </w:style>
  <w:style w:type="paragraph" w:styleId="Heading1">
    <w:name w:val="heading 1"/>
    <w:basedOn w:val="Normal"/>
    <w:next w:val="Normal"/>
    <w:link w:val="Nagwek1Znak"/>
    <w:uiPriority w:val="9"/>
    <w:qFormat/>
    <w:rsid w:val="00d80068"/>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Nagwek2Znak"/>
    <w:uiPriority w:val="9"/>
    <w:semiHidden/>
    <w:unhideWhenUsed/>
    <w:qFormat/>
    <w:rsid w:val="00d80068"/>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Nagwek3Znak"/>
    <w:uiPriority w:val="9"/>
    <w:semiHidden/>
    <w:unhideWhenUsed/>
    <w:qFormat/>
    <w:rsid w:val="00d80068"/>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Nagwek4Znak"/>
    <w:uiPriority w:val="9"/>
    <w:semiHidden/>
    <w:unhideWhenUsed/>
    <w:qFormat/>
    <w:rsid w:val="00d80068"/>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Nagwek5Znak"/>
    <w:uiPriority w:val="9"/>
    <w:semiHidden/>
    <w:unhideWhenUsed/>
    <w:qFormat/>
    <w:rsid w:val="00d80068"/>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Nagwek6Znak"/>
    <w:uiPriority w:val="9"/>
    <w:semiHidden/>
    <w:unhideWhenUsed/>
    <w:qFormat/>
    <w:rsid w:val="00d80068"/>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Nagwek7Znak"/>
    <w:uiPriority w:val="9"/>
    <w:semiHidden/>
    <w:unhideWhenUsed/>
    <w:qFormat/>
    <w:rsid w:val="00d80068"/>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Nagwek8Znak"/>
    <w:uiPriority w:val="9"/>
    <w:semiHidden/>
    <w:unhideWhenUsed/>
    <w:qFormat/>
    <w:rsid w:val="00d80068"/>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Nagwek9Znak"/>
    <w:uiPriority w:val="9"/>
    <w:semiHidden/>
    <w:unhideWhenUsed/>
    <w:qFormat/>
    <w:rsid w:val="00d80068"/>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d80068"/>
    <w:rPr>
      <w:rFonts w:ascii="Aptos Display" w:hAnsi="Aptos Display" w:eastAsia="" w:cs="" w:asciiTheme="majorHAnsi" w:cstheme="majorBidi" w:eastAsiaTheme="majorEastAsia" w:hAnsiTheme="majorHAnsi"/>
      <w:color w:themeColor="accent1" w:themeShade="bf" w:val="0F4761"/>
      <w:sz w:val="40"/>
      <w:szCs w:val="40"/>
    </w:rPr>
  </w:style>
  <w:style w:type="character" w:styleId="Nagwek2Znak" w:customStyle="1">
    <w:name w:val="Nagłówek 2 Znak"/>
    <w:basedOn w:val="DefaultParagraphFont"/>
    <w:uiPriority w:val="9"/>
    <w:semiHidden/>
    <w:qFormat/>
    <w:rsid w:val="00d80068"/>
    <w:rPr>
      <w:rFonts w:ascii="Aptos Display" w:hAnsi="Aptos Display" w:eastAsia="" w:cs="" w:asciiTheme="majorHAnsi" w:cstheme="majorBidi" w:eastAsiaTheme="majorEastAsia" w:hAnsiTheme="majorHAnsi"/>
      <w:color w:themeColor="accent1" w:themeShade="bf" w:val="0F4761"/>
      <w:sz w:val="32"/>
      <w:szCs w:val="32"/>
    </w:rPr>
  </w:style>
  <w:style w:type="character" w:styleId="Nagwek3Znak" w:customStyle="1">
    <w:name w:val="Nagłówek 3 Znak"/>
    <w:basedOn w:val="DefaultParagraphFont"/>
    <w:uiPriority w:val="9"/>
    <w:semiHidden/>
    <w:qFormat/>
    <w:rsid w:val="00d80068"/>
    <w:rPr>
      <w:rFonts w:eastAsia="" w:cs="" w:cstheme="majorBidi" w:eastAsiaTheme="majorEastAsia"/>
      <w:color w:themeColor="accent1" w:themeShade="bf" w:val="0F4761"/>
      <w:sz w:val="28"/>
      <w:szCs w:val="28"/>
    </w:rPr>
  </w:style>
  <w:style w:type="character" w:styleId="Nagwek4Znak" w:customStyle="1">
    <w:name w:val="Nagłówek 4 Znak"/>
    <w:basedOn w:val="DefaultParagraphFont"/>
    <w:uiPriority w:val="9"/>
    <w:semiHidden/>
    <w:qFormat/>
    <w:rsid w:val="00d80068"/>
    <w:rPr>
      <w:rFonts w:eastAsia="" w:cs="" w:cstheme="majorBidi" w:eastAsiaTheme="majorEastAsia"/>
      <w:i/>
      <w:iCs/>
      <w:color w:themeColor="accent1" w:themeShade="bf" w:val="0F4761"/>
    </w:rPr>
  </w:style>
  <w:style w:type="character" w:styleId="Nagwek5Znak" w:customStyle="1">
    <w:name w:val="Nagłówek 5 Znak"/>
    <w:basedOn w:val="DefaultParagraphFont"/>
    <w:uiPriority w:val="9"/>
    <w:semiHidden/>
    <w:qFormat/>
    <w:rsid w:val="00d80068"/>
    <w:rPr>
      <w:rFonts w:eastAsia="" w:cs="" w:cstheme="majorBidi" w:eastAsiaTheme="majorEastAsia"/>
      <w:color w:themeColor="accent1" w:themeShade="bf" w:val="0F4761"/>
    </w:rPr>
  </w:style>
  <w:style w:type="character" w:styleId="Nagwek6Znak" w:customStyle="1">
    <w:name w:val="Nagłówek 6 Znak"/>
    <w:basedOn w:val="DefaultParagraphFont"/>
    <w:uiPriority w:val="9"/>
    <w:semiHidden/>
    <w:qFormat/>
    <w:rsid w:val="00d80068"/>
    <w:rPr>
      <w:rFonts w:eastAsia="" w:cs="" w:cstheme="majorBidi" w:eastAsiaTheme="majorEastAsia"/>
      <w:i/>
      <w:iCs/>
      <w:color w:themeColor="text1" w:themeTint="a6" w:val="595959"/>
    </w:rPr>
  </w:style>
  <w:style w:type="character" w:styleId="Nagwek7Znak" w:customStyle="1">
    <w:name w:val="Nagłówek 7 Znak"/>
    <w:basedOn w:val="DefaultParagraphFont"/>
    <w:uiPriority w:val="9"/>
    <w:semiHidden/>
    <w:qFormat/>
    <w:rsid w:val="00d80068"/>
    <w:rPr>
      <w:rFonts w:eastAsia="" w:cs="" w:cstheme="majorBidi" w:eastAsiaTheme="majorEastAsia"/>
      <w:color w:themeColor="text1" w:themeTint="a6" w:val="595959"/>
    </w:rPr>
  </w:style>
  <w:style w:type="character" w:styleId="Nagwek8Znak" w:customStyle="1">
    <w:name w:val="Nagłówek 8 Znak"/>
    <w:basedOn w:val="DefaultParagraphFont"/>
    <w:uiPriority w:val="9"/>
    <w:semiHidden/>
    <w:qFormat/>
    <w:rsid w:val="00d80068"/>
    <w:rPr>
      <w:rFonts w:eastAsia="" w:cs="" w:cstheme="majorBidi" w:eastAsiaTheme="majorEastAsia"/>
      <w:i/>
      <w:iCs/>
      <w:color w:themeColor="text1" w:themeTint="d8" w:val="272727"/>
    </w:rPr>
  </w:style>
  <w:style w:type="character" w:styleId="Nagwek9Znak" w:customStyle="1">
    <w:name w:val="Nagłówek 9 Znak"/>
    <w:basedOn w:val="DefaultParagraphFont"/>
    <w:uiPriority w:val="9"/>
    <w:semiHidden/>
    <w:qFormat/>
    <w:rsid w:val="00d80068"/>
    <w:rPr>
      <w:rFonts w:eastAsia="" w:cs="" w:cstheme="majorBidi" w:eastAsiaTheme="majorEastAsia"/>
      <w:color w:themeColor="text1" w:themeTint="d8" w:val="272727"/>
    </w:rPr>
  </w:style>
  <w:style w:type="character" w:styleId="TytuZnak" w:customStyle="1">
    <w:name w:val="Tytuł Znak"/>
    <w:basedOn w:val="DefaultParagraphFont"/>
    <w:uiPriority w:val="10"/>
    <w:qFormat/>
    <w:rsid w:val="00d80068"/>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uiPriority w:val="11"/>
    <w:qFormat/>
    <w:rsid w:val="00d80068"/>
    <w:rPr>
      <w:rFonts w:eastAsia="" w:cs="" w:cstheme="majorBidi" w:eastAsiaTheme="majorEastAsia"/>
      <w:color w:themeColor="text1" w:themeTint="a6" w:val="595959"/>
      <w:spacing w:val="15"/>
      <w:sz w:val="28"/>
      <w:szCs w:val="28"/>
    </w:rPr>
  </w:style>
  <w:style w:type="character" w:styleId="CytatZnak" w:customStyle="1">
    <w:name w:val="Cytat Znak"/>
    <w:basedOn w:val="DefaultParagraphFont"/>
    <w:link w:val="Quote"/>
    <w:uiPriority w:val="29"/>
    <w:qFormat/>
    <w:rsid w:val="00d80068"/>
    <w:rPr>
      <w:i/>
      <w:iCs/>
      <w:color w:themeColor="text1" w:themeTint="bf" w:val="404040"/>
    </w:rPr>
  </w:style>
  <w:style w:type="character" w:styleId="IntenseEmphasis">
    <w:name w:val="Intense Emphasis"/>
    <w:basedOn w:val="DefaultParagraphFont"/>
    <w:uiPriority w:val="21"/>
    <w:qFormat/>
    <w:rsid w:val="00d80068"/>
    <w:rPr>
      <w:i/>
      <w:iCs/>
      <w:color w:themeColor="accent1" w:themeShade="bf" w:val="0F4761"/>
    </w:rPr>
  </w:style>
  <w:style w:type="character" w:styleId="CytatintensywnyZnak" w:customStyle="1">
    <w:name w:val="Cytat intensywny Znak"/>
    <w:basedOn w:val="DefaultParagraphFont"/>
    <w:link w:val="IntenseQuote"/>
    <w:uiPriority w:val="30"/>
    <w:qFormat/>
    <w:rsid w:val="00d80068"/>
    <w:rPr>
      <w:i/>
      <w:iCs/>
      <w:color w:themeColor="accent1" w:themeShade="bf" w:val="0F4761"/>
    </w:rPr>
  </w:style>
  <w:style w:type="character" w:styleId="IntenseReference">
    <w:name w:val="Intense Reference"/>
    <w:basedOn w:val="DefaultParagraphFont"/>
    <w:uiPriority w:val="32"/>
    <w:qFormat/>
    <w:rsid w:val="00d80068"/>
    <w:rPr>
      <w:b/>
      <w:bCs/>
      <w:smallCaps/>
      <w:color w:themeColor="accent1" w:themeShade="bf" w:val="0F4761"/>
      <w:spacing w:val="5"/>
    </w:rPr>
  </w:style>
  <w:style w:type="character" w:styleId="Hyperlink">
    <w:name w:val="Hyperlink"/>
    <w:basedOn w:val="DefaultParagraphFont"/>
    <w:uiPriority w:val="99"/>
    <w:unhideWhenUsed/>
    <w:rsid w:val="00966d82"/>
    <w:rPr>
      <w:color w:themeColor="hyperlink" w:val="467886"/>
      <w:u w:val="single"/>
    </w:rPr>
  </w:style>
  <w:style w:type="character" w:styleId="UnresolvedMention" w:customStyle="1">
    <w:name w:val="Unresolved Mention"/>
    <w:basedOn w:val="DefaultParagraphFont"/>
    <w:uiPriority w:val="99"/>
    <w:semiHidden/>
    <w:unhideWhenUsed/>
    <w:qFormat/>
    <w:rsid w:val="00966d82"/>
    <w:rPr>
      <w:color w:val="605E5C"/>
      <w:shd w:fill="E1DFDD" w:val="clear"/>
    </w:rPr>
  </w:style>
  <w:style w:type="character" w:styleId="NagwekZnak" w:customStyle="1">
    <w:name w:val="Nagłówek Znak"/>
    <w:basedOn w:val="DefaultParagraphFont"/>
    <w:uiPriority w:val="99"/>
    <w:qFormat/>
    <w:rsid w:val="00f70995"/>
    <w:rPr/>
  </w:style>
  <w:style w:type="character" w:styleId="StopkaZnak" w:customStyle="1">
    <w:name w:val="Stopka Znak"/>
    <w:basedOn w:val="DefaultParagraphFont"/>
    <w:uiPriority w:val="99"/>
    <w:qFormat/>
    <w:rsid w:val="00f70995"/>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itle">
    <w:name w:val="Title"/>
    <w:basedOn w:val="Normal"/>
    <w:next w:val="Normal"/>
    <w:link w:val="TytuZnak"/>
    <w:uiPriority w:val="10"/>
    <w:qFormat/>
    <w:rsid w:val="00d80068"/>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PodtytuZnak"/>
    <w:uiPriority w:val="11"/>
    <w:qFormat/>
    <w:rsid w:val="00d80068"/>
    <w:pPr/>
    <w:rPr>
      <w:rFonts w:eastAsia="" w:cs="" w:cstheme="majorBidi" w:eastAsiaTheme="majorEastAsia"/>
      <w:color w:themeColor="text1" w:themeTint="a6" w:val="595959"/>
      <w:spacing w:val="15"/>
      <w:sz w:val="28"/>
      <w:szCs w:val="28"/>
    </w:rPr>
  </w:style>
  <w:style w:type="paragraph" w:styleId="Quote">
    <w:name w:val="Quote"/>
    <w:basedOn w:val="Normal"/>
    <w:next w:val="Normal"/>
    <w:link w:val="CytatZnak"/>
    <w:uiPriority w:val="29"/>
    <w:qFormat/>
    <w:rsid w:val="00d80068"/>
    <w:pPr>
      <w:spacing w:before="160" w:after="160"/>
      <w:jc w:val="center"/>
    </w:pPr>
    <w:rPr>
      <w:i/>
      <w:iCs/>
      <w:color w:themeColor="text1" w:themeTint="bf" w:val="404040"/>
    </w:rPr>
  </w:style>
  <w:style w:type="paragraph" w:styleId="ListParagraph">
    <w:name w:val="List Paragraph"/>
    <w:basedOn w:val="Normal"/>
    <w:uiPriority w:val="34"/>
    <w:qFormat/>
    <w:rsid w:val="00d80068"/>
    <w:pPr>
      <w:spacing w:before="0" w:after="160"/>
      <w:ind w:left="720"/>
      <w:contextualSpacing/>
    </w:pPr>
    <w:rPr/>
  </w:style>
  <w:style w:type="paragraph" w:styleId="IntenseQuote">
    <w:name w:val="Intense Quote"/>
    <w:basedOn w:val="Normal"/>
    <w:next w:val="Normal"/>
    <w:link w:val="CytatintensywnyZnak"/>
    <w:uiPriority w:val="30"/>
    <w:qFormat/>
    <w:rsid w:val="00d80068"/>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Gwkaistopka">
    <w:name w:val="Główka i stopka"/>
    <w:basedOn w:val="Normal"/>
    <w:qFormat/>
    <w:pPr/>
    <w:rPr/>
  </w:style>
  <w:style w:type="paragraph" w:styleId="Header">
    <w:name w:val="header"/>
    <w:basedOn w:val="Normal"/>
    <w:link w:val="NagwekZnak"/>
    <w:uiPriority w:val="99"/>
    <w:unhideWhenUsed/>
    <w:rsid w:val="00f70995"/>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f70995"/>
    <w:pPr>
      <w:tabs>
        <w:tab w:val="clear" w:pos="708"/>
        <w:tab w:val="center" w:pos="4536" w:leader="none"/>
        <w:tab w:val="right" w:pos="9072" w:leader="none"/>
      </w:tabs>
      <w:spacing w:lineRule="auto" w:line="240" w:before="0" w:after="0"/>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osnowiec@caritas.pl" TargetMode="External"/><Relationship Id="rId3" Type="http://schemas.openxmlformats.org/officeDocument/2006/relationships/hyperlink" Target="http://www.aktywnywolontariat.pl/" TargetMode="External"/><Relationship Id="rId4" Type="http://schemas.openxmlformats.org/officeDocument/2006/relationships/hyperlink" Target="http://www.aktywnywolontariat.pl/" TargetMode="External"/><Relationship Id="rId5" Type="http://schemas.openxmlformats.org/officeDocument/2006/relationships/hyperlink" Target="http://www.aktywnywolontariat.pl/"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7ED9B-85D9-4A93-8E91-EBBD71C1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LibreOffice/25.2.4.3$Windows_X86_64 LibreOffice_project/33e196637044ead23f5c3226cde09b47731f7e27</Application>
  <AppVersion>15.0000</AppVersion>
  <Pages>11</Pages>
  <Words>2787</Words>
  <Characters>18361</Characters>
  <CharactersWithSpaces>21173</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2025-03-12T14:18:00Z</dcterms:created>
  <dc:creator>Caritas Sosnowiec</dc:creator>
  <dc:description/>
  <dc:language>pl-PL</dc:language>
  <cp:lastModifiedBy/>
  <dcterms:modified xsi:type="dcterms:W3CDTF">2025-07-15T11:40:26Z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